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BBVA</w:t>
      </w:r>
      <w:r>
        <w:rPr>
          <w:rFonts w:ascii="Calibri" w:hAnsi="Calibri"/>
          <w:b/>
          <w:color w:val="1A2010"/>
          <w:sz w:val="40"/>
        </w:rPr>
        <w:t xml:space="preserve">  Banco Bilbao Vizcaya Argentaria, S.A.</w:t>
      </w:r>
    </w:p>
    <w:p>
      <w:pPr>
        <w:spacing w:after="120"/>
      </w:pPr>
      <w:r>
        <w:rPr>
          <w:rFonts w:ascii="Calibri" w:hAnsi="Calibri"/>
          <w:b/>
          <w:color w:val="6E8450"/>
          <w:sz w:val="18"/>
        </w:rPr>
        <w:t>DIVIDEND SLEEVE · 2026-07-16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Diversified · NYSE · Spain</w:t>
      </w:r>
    </w:p>
    <w:p>
      <w:pPr>
        <w:spacing w:after="80"/>
      </w:pPr>
      <w:r>
        <w:rPr>
          <w:rFonts w:ascii="Calibri" w:hAnsi="Calibri"/>
          <w:b w:val="0"/>
          <w:color w:val="3A4A28"/>
          <w:sz w:val="20"/>
        </w:rPr>
        <w:t>Banco Bilbao Vizcaya Argentaria, S.A. (BBVA) is a global financial services group providing retail, wholesale, investment, and transaction banking across Spain, Mexico, Turkey, South America, and Asia. Founded in 1857, BBVA operates as a diversified bank with industry-leading digital capabilities, managing insurance, asset management, and capital markets businesses alongside traditional banking operations. Strategic alliance with OpenAI positions BBVA at the forefront of AI-powered banking.</w:t>
      </w:r>
    </w:p>
    <w:p>
      <w:r>
        <w:rPr>
          <w:rFonts w:ascii="Calibri" w:hAnsi="Calibri"/>
          <w:b/>
          <w:color w:val="6E8450"/>
          <w:sz w:val="18"/>
        </w:rPr>
        <w:t>127,174 Employees · https://www.bbva.com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BBVA has executed a significant digital transformation, creating a Digital Banks unit to enter new markets with fully digital models, and achieving TTM revenue of $37.6B with Q1 2026 gross income surging 18.3% YoY to EUR 10.65B [1][5]. Garanti BBVA completely reshaped digital banking in 2025 with generative AI at its core. AI Deployment (2/2): BBVA formed a strategic alliance with OpenAI to redefine financial services, deployed 300 AI 'wizard' specialists across business areas, trained 250 leaders including CEO and Chairman in AI, and expanded to 11,000 ChatGPT Enterprise licenses [2]. Market Share (1/2): BBVA is the second-largest bank in Spain and the largest financial institution in Mexico, holding dominant positions in two major markets with Q1 2026 loan growth of 17% YoY across the group [1][5]. Pipeline (1/2): 'The Eight' strategy to transform financial experience with AI, Digital Banks expansion, Sabadell acquisition bid, and OpenAI partnership provide visible growth pipeline [2]. R&amp;D Intensity (1/1): Technology investment is well above banking sector averages, with BBVA dedicating significant resources to AI, data science, and digital infrastructure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BBVA's purpose — 'to bring the age of opportunity to everyone' — is distinctive and specific, reflecting genuine intentionality about financial inclusion and digital access that differentiates from generic banking platitudes [2]. Leadership consistently references this mission in strategic decisions around digital banking expansion and sustainable finance. Community Impact (1/2): BBVA channels significant capital into sustainable finance and maintains ESG restrictions on mining, agribusiness, energy, and defense sector financing, showing values-based capital allocation [3]. Employee Retention (1/2): BBVA's investment in internal AI training (hackathons, 300 AI wizards, 11,000 ChatGPT licenses) signals a culture of employee development; the 127,174-strong workforce has grown stably [2]. Insider Buying (1/2): CEO Onur Genç and Chair Carlos Torres Vila maintain equity exposure; the 41% payout ratio with aggressive share buybacks (EUR 4B repurchased since December 2025) demonstrates capital discipline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BBVA's financial profile is among the strongest in European banking. Q1 2026 ROTE reached 21.7% with ROE at 20.7%, driven by EUR 2.99B net income (up 10.8% YoY) on gross income of EUR 10.65B (up 18.3% YoY) [5]. TTM profit margin of 33.1% reflects outstanding banking efficiency with a 38% cost-to-income ratio [5]. Forward P/E of 10.89x is deeply undervalued relative to the 20x target. D/E is excluded as banks use different leverage metrics; CET1 ratio of 12.83% is strong and improving [5]. Revenue growth has reaccelerated: Q1 2026 net interest income surged 20.2% YoY and core revenues grew 19.1%, driven by 17% loan growth (constant exchange rates) across Spain (+6.3%), Mexico (+8.4%), and Turkey (+45.3%) [5]. Dividend yield of 3.41% with 26 years of consecutive payments and aggressive share buybacks (EUR 4B since December 2025). Payout ratio of 41% maintains ample retained earnings for growth. Liquidity at $33.7M daily turnover clears the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BBVA demonstrates strong infinite-game characteristics through its 169-year history, genuine digital transformation commitment, and purpose-driven banking strategy. The bank's willingness to invest heavily in AI and digital infrastructure ahead of competitors, combined with a distinctive mission around financial inclusion, positions it as a forward-looking institution that plays to keep playing. The EUR 4B share buyback program alongside continued growth investment demonstrates balanced long-term capital allocation [5].</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BBVA's purpose — 'to bring the age of opportunity to everyone' — is genuine and partially validated by strategic decisions: the Digital Banks unit, $30B+ in sustainable finance, and aggressive digital inclusion efforts in Mexico and Turkey [2][3]. The cause has shaped real capital allocation, though it has not been tested through a major existential crisis. Score: 2 points (genuine cause, partially lived).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BBVA's investment in employee AI training (11,000 ChatGPT Enterprise licenses, hackathons, community of practice) demonstrates a culture that empowers employees rather than threatening them with technology replacement [2]. The 123,193-person workforce has remained stable through the digital transformation. Leadership continuity under Chair Carlos Torres Vila and CEO Onur Genç provides organizational stability. Score: 1 point (adequate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BBVA's competitive posture shows infinite-game characteristics — the bank openly acknowledges fintech competitors' strengths and uses competitive pressure to drive its own digital transformation [2]. The OpenAI partnership and aggressive data science investment reflect a 'learn and improve' mentality rather than a 'beat and destroy' approach to competition. Score: 1 point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BBVA has transformed itself from a traditional Spanish bank into a digital-first global financial institution. The creation of a standalone Digital Banks unit, the sale of BBVA USA to PNC Financial in 2021 ($11.6B) to fund digital transformation, and the OpenAI strategic alliance represent genuine business model evolution driven by the mission rather than desperation [2]. Score: 2 points (transformative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BBVA's sale of its U.S. retail banking business for $11.6B in 2021 — walking away from a profitable market to concentrate resources on digital transformation and higher-growth markets — exemplifies courageous leadership [2]. However, the proposed hostile bid for Sabadell introduces execution risk that may reflect growth ambition over strategic discipline. Score: 1 point (some courageous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BBVA is Europe's most compelling bank stock — a digital transformation leader trading at just 10.89x forward earnings with a 20.7% ROTE, 33.1% profit margin, and 3.41% dividend yield supplemented by EUR 4B in share buybacks since December 2025 [4][5]. Q1 2026 delivered EUR 2.99B net income (up 10.8% YoY) with gross income surging 18.3% to EUR 10.65B, driven by 20.2% net interest income growth and 17% loan growth across geographies [5]. The strategic alliance with OpenAI, 300 AI wizard specialists, and 11,000 ChatGPT Enterprise licenses position BBVA at the forefront of AI adoption in banking [2]. The cumulative 2025-Q1 2026 profit of EUR 13.5B is on track toward the EUR 48B target for 2025-2028, and the CET1 ratio of 12.83% provides ample capital for continued shareholder returns [5]. BBVA's stock has appreciated 72.7% over the past year yet still trades at 11.74x trailing earnings.</w:t>
      </w:r>
    </w:p>
    <w:p>
      <w:pPr>
        <w:spacing w:after="120"/>
      </w:pPr>
      <w:r>
        <w:rPr>
          <w:rFonts w:ascii="Calibri" w:hAnsi="Calibri"/>
          <w:b w:val="0"/>
          <w:color w:val="3A4A28"/>
          <w:sz w:val="20"/>
        </w:rPr>
        <w:t>The bear case centers on geographic concentration risk, regulatory headwinds, and acquisition execution. Mexico (BBVA's largest profit contributor) faces political uncertainty and potential banking regulation changes that could compress margins [1]. Turkey's macroeconomic volatility — with Q1 2026 loan growth of 45.3% in lira terms reflecting high nominal growth in an inflationary environment — creates earnings quality concerns. The proposed Sabadell acquisition has faced regulatory and political resistance in Spain, creating distraction risk and potential overpayment. Currency translation risk across multiple emerging market exposures (Mexico peso, Turkish lira, South American currencies) amplifies earnings volatility for ADR holders. The cost of risk at 1.54% and NPL ratio of 2.6% reflect credit quality strain in some markets [5]. European banking regulation (Basel IV implementation) may require additional capital buffers that constrain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revenue acceleration — gross income surging 18.3% YoY with net interest income up 20.2% and core revenues up 19.1%, driven by 17% loan growth across geographies [5]</w:t>
      </w:r>
    </w:p>
    <w:p>
      <w:pPr>
        <w:spacing w:before="40" w:after="40"/>
        <w:ind w:left="283"/>
      </w:pPr>
      <w:r>
        <w:rPr>
          <w:rFonts w:ascii="Calibri" w:hAnsi="Calibri"/>
          <w:b/>
          <w:color w:val="4A6B25"/>
          <w:sz w:val="20"/>
        </w:rPr>
        <w:t xml:space="preserve">2. </w:t>
      </w:r>
      <w:r>
        <w:rPr>
          <w:rFonts w:ascii="Calibri" w:hAnsi="Calibri"/>
          <w:b w:val="0"/>
          <w:color w:val="3A4A28"/>
          <w:sz w:val="20"/>
        </w:rPr>
        <w:t>OpenAI strategic alliance and 'The Eight' AI strategy scaling across 127,000 employees, with 300 AI wizard specialists driving cost efficiencies and new digital product revenue [2]</w:t>
      </w:r>
    </w:p>
    <w:p>
      <w:pPr>
        <w:spacing w:before="40" w:after="40"/>
        <w:ind w:left="283"/>
      </w:pPr>
      <w:r>
        <w:rPr>
          <w:rFonts w:ascii="Calibri" w:hAnsi="Calibri"/>
          <w:b/>
          <w:color w:val="4A6B25"/>
          <w:sz w:val="20"/>
        </w:rPr>
        <w:t xml:space="preserve">3. </w:t>
      </w:r>
      <w:r>
        <w:rPr>
          <w:rFonts w:ascii="Calibri" w:hAnsi="Calibri"/>
          <w:b w:val="0"/>
          <w:color w:val="3A4A28"/>
          <w:sz w:val="20"/>
        </w:rPr>
        <w:t>Shareholder returns acceleration — EUR 4B in buybacks since December 2025, plus EUR 1.46B new tranche starting May 2026, alongside a 10% interim dividend increase to EUR 0.32/share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Mexico political and regulatory risk — BBVA Mexico is the bank's largest profit contributor and faces uncertainty under populist government policies that could cap fees or mandate lending requirements [1]</w:t>
      </w:r>
    </w:p>
    <w:p>
      <w:pPr>
        <w:spacing w:before="40" w:after="40"/>
        <w:ind w:left="283"/>
      </w:pPr>
      <w:r>
        <w:rPr>
          <w:rFonts w:ascii="Calibri" w:hAnsi="Calibri"/>
          <w:b/>
          <w:color w:val="4A6B25"/>
          <w:sz w:val="20"/>
        </w:rPr>
        <w:t xml:space="preserve">2. </w:t>
      </w:r>
      <w:r>
        <w:rPr>
          <w:rFonts w:ascii="Calibri" w:hAnsi="Calibri"/>
          <w:b w:val="0"/>
          <w:color w:val="3A4A28"/>
          <w:sz w:val="20"/>
        </w:rPr>
        <w:t>Turkey earnings quality — 45.3% lira loan growth reflects hyperinflationary nominal gains rather than real economic expansion, and currency devaluation risk persists [5]</w:t>
      </w:r>
    </w:p>
    <w:p>
      <w:pPr>
        <w:spacing w:before="40" w:after="40"/>
        <w:ind w:left="283"/>
      </w:pPr>
      <w:r>
        <w:rPr>
          <w:rFonts w:ascii="Calibri" w:hAnsi="Calibri"/>
          <w:b/>
          <w:color w:val="4A6B25"/>
          <w:sz w:val="20"/>
        </w:rPr>
        <w:t xml:space="preserve">3. </w:t>
      </w:r>
      <w:r>
        <w:rPr>
          <w:rFonts w:ascii="Calibri" w:hAnsi="Calibri"/>
          <w:b w:val="0"/>
          <w:color w:val="3A4A28"/>
          <w:sz w:val="20"/>
        </w:rPr>
        <w:t>Sabadell acquisition execution risk — political opposition and regulatory scrutiny could delay or block the deal, tying up management attention and excess capital while distracting from organic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Banking's core functions — deposit-taking, lending, risk assessment, regulatory compliance — require licensed institutions with deep regulatory moats that AI cannot bypass [1]. BBVA faces some AI exposure in commoditized services like basic account management and simple advisory, where fintech competitors using AI could erode margins. However, BBVA's physical presence, regulatory licenses across 15+ countries, and $148.5B in deposits create structural defenses. The wholesale and investment banking businesses face moderate AI disruption risk in areas like research and trade execution [2]. AI Opportunity (1/1): BBVA generates quantifiable AI revenue through its OpenAI strategic alliance, 1,000+ data scientists, and AI-driven products deployed across digital banking platforms serving millions of customers [2]. The bank's AI-powered risk scoring and customer targeting demonstrably improve unit economics.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CompaniesMarketCap / Yahoo Finance — BBVA revenue history, earnings, and analyst estimates, accessed July 2026</w:t>
      </w:r>
    </w:p>
    <w:p>
      <w:pPr>
        <w:spacing w:before="20" w:after="20"/>
        <w:ind w:left="170"/>
      </w:pPr>
      <w:r>
        <w:rPr>
          <w:rFonts w:ascii="Calibri" w:hAnsi="Calibri"/>
          <w:b/>
          <w:color w:val="4A6B25"/>
          <w:sz w:val="15"/>
        </w:rPr>
        <w:t xml:space="preserve">2. </w:t>
      </w:r>
      <w:r>
        <w:rPr>
          <w:rFonts w:ascii="Calibri" w:hAnsi="Calibri"/>
          <w:b w:val="0"/>
          <w:color w:val="3A4A28"/>
          <w:sz w:val="17"/>
        </w:rPr>
        <w:t>BBVA.com — AI strategy, OpenAI partnership, 'The Eight' transformation strategy, and innovation initiatives, 2025-2026</w:t>
      </w:r>
    </w:p>
    <w:p>
      <w:pPr>
        <w:spacing w:before="20" w:after="20"/>
        <w:ind w:left="170"/>
      </w:pPr>
      <w:r>
        <w:rPr>
          <w:rFonts w:ascii="Calibri" w:hAnsi="Calibri"/>
          <w:b/>
          <w:color w:val="4A6B25"/>
          <w:sz w:val="15"/>
        </w:rPr>
        <w:t xml:space="preserve">3. </w:t>
      </w:r>
      <w:r>
        <w:rPr>
          <w:rFonts w:ascii="Calibri" w:hAnsi="Calibri"/>
          <w:b w:val="0"/>
          <w:color w:val="3A4A28"/>
          <w:sz w:val="17"/>
        </w:rPr>
        <w:t>BBVA Sustainability Report — sustainable finance, ESG framework and restrictions, 2025-2026</w:t>
      </w:r>
    </w:p>
    <w:p>
      <w:pPr>
        <w:spacing w:before="20" w:after="20"/>
        <w:ind w:left="170"/>
      </w:pPr>
      <w:r>
        <w:rPr>
          <w:rFonts w:ascii="Calibri" w:hAnsi="Calibri"/>
          <w:b/>
          <w:color w:val="4A6B25"/>
          <w:sz w:val="15"/>
        </w:rPr>
        <w:t xml:space="preserve">4. </w:t>
      </w:r>
      <w:r>
        <w:rPr>
          <w:rFonts w:ascii="Calibri" w:hAnsi="Calibri"/>
          <w:b w:val="0"/>
          <w:color w:val="3A4A28"/>
          <w:sz w:val="17"/>
        </w:rPr>
        <w:t>Stock Analysis — BBVA ADR financial data, P/E 11.74x, market cap $140.89B, retrieved July 2026</w:t>
      </w:r>
    </w:p>
    <w:p>
      <w:pPr>
        <w:spacing w:before="20" w:after="20"/>
        <w:ind w:left="170"/>
      </w:pPr>
      <w:r>
        <w:rPr>
          <w:rFonts w:ascii="Calibri" w:hAnsi="Calibri"/>
          <w:b/>
          <w:color w:val="4A6B25"/>
          <w:sz w:val="15"/>
        </w:rPr>
        <w:t xml:space="preserve">5. </w:t>
      </w:r>
      <w:r>
        <w:rPr>
          <w:rFonts w:ascii="Calibri" w:hAnsi="Calibri"/>
          <w:b w:val="0"/>
          <w:color w:val="3A4A28"/>
          <w:sz w:val="17"/>
        </w:rPr>
        <w:t>BBVA Q1 2026 Earnings Release — EUR 2.99B net income, 18.3% gross income growth, 12.83% CET1,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