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BDX</w:t>
      </w:r>
      <w:r>
        <w:rPr>
          <w:rFonts w:ascii="Calibri" w:hAnsi="Calibri"/>
          <w:b/>
          <w:color w:val="1A2010"/>
          <w:sz w:val="40"/>
        </w:rPr>
        <w:t xml:space="preserve">  Becton, Dickinson and Company</w:t>
      </w:r>
    </w:p>
    <w:p>
      <w:pPr>
        <w:spacing w:after="120"/>
      </w:pPr>
      <w:r>
        <w:rPr>
          <w:rFonts w:ascii="Calibri" w:hAnsi="Calibri"/>
          <w:b/>
          <w:color w:val="6E8450"/>
          <w:sz w:val="18"/>
        </w:rPr>
        <w:t>DIVIDEND SLEEVE · 2026-07-10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Becton, Dickinson and Company (BD) is a global medical technology company that manufactures and sells medical devices, instrument systems, and reagents. Operating through BD Medical, BD Life Sciences, and BD Interventional segments, the company produces syringes, blood collection systems, medication management solutions, diagnostic instruments, and surgical products. BD completed the $4.2 billion acquisition of Edwards Lifesciences' Critical Care product group in September 2024, adding AI-enabled clinical monitoring solutions. Founded in 1897 and headquartered in Franklin Lakes, New Jersey.</w:t>
      </w:r>
    </w:p>
    <w:p>
      <w:r>
        <w:rPr>
          <w:rFonts w:ascii="Calibri" w:hAnsi="Calibri"/>
          <w:b/>
          <w:color w:val="6E8450"/>
          <w:sz w:val="18"/>
        </w:rPr>
        <w:t>75,000 Employees · https://www.bd.com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BD completed the transformative $4.2B acquisition of Edwards Lifesciences' Critical Care product group in September 2024, creating BD Advanced Patient Monitoring and expanding into smart connected care with AI-enabled clinical decision support tools [2]. The Alaris infusion pump system received full FDA clearance after years of regulatory remediation, representing a significant product re-launch. AI Deployment (1/2): BD Advanced Patient Monitoring (from Edwards acquisition) includes AI algorithm clinical decision support tools that are shipping to hospitals and generating revenue as part of the monitoring solution portfolio [2][3]. Market Share (2/2): BD holds dominant global market share in multiple medtech categories including blood collection (BD Vacutainer), syringes and needles, medication management systems (BD Alaris), and pre-analytical specimen processing — category leadership maintained for decades with specific positioning data [1]. Product Pipeline (1/2): BD's 'Unleash Excellence' (BD 2030) strategy targets digital health, smart devices, and advanced analytics with specific product roadmaps around connected care and laboratory automation platforms including BD COR and BD Kiestra [3]. R&amp;D Intensity (0/1): R&amp;D spending is approximately 5-6% of revenue, which is at industry average for medical devices rather than above-average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BD's purpose — 'Advancing the world of health' — has been validated by 129 years of consistent execution in healthcare since 1897, surviving two world wars, multiple technology transitions, and numerous leadership changes [3]. The company pioneered glass syringes and blood collection technology and has consistently invested in healthcare infrastructure across market cycles. The purpose is specific, thoughtful, and clearly shapes strategic decisions. Community Impact (1/2): BD has established community health programs including injection safety initiatives in developing countries, the BD Foundation, and sustainability commitments under the 'Together We Advance' ESG initiative launched in FY2022, with reported 10% greenhouse gas emission reductions and expanded renewable energy usage [4]. Employee Retention (0/2): With approximately 75,000 global employees, BD has a stable workforce, but no specific tenure data, voluntary turnover rates, or employee retention metrics were found in public sources. Insider Buying (0/2): No evidence of meaningful net insider buying by CEO Tom Polen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comprehensive financial metrics reflecting BD's position as a mature, dividend-paying medtech leader. Q2 FY2026 delivered $4.714B revenue with 2.6% FX-neutral growth, adjusted EPS of $2.90 (beating consensus by 3.5%), and raised full-year EPS guidance to $12.52-12.72 [1]. Trailing revenue of $21.37B grew 2.39% YoY with gross margin of 46.99% but compressed net margin of 5.87% reflecting integration costs from the Edwards acquisition and Alaris remediation [1]. Debt-to-equity of 71.6% is near the 70% target, supported by the stable cash flows of a diversified medtech business but elevated by $17.28B in total debt from the Edwards acquisition against only $816M cash [5]. Forward P/E of 11.5 is well below the 20 target, reflecting significant valuation discount. 54 consecutive years of dividend increases qualify BD as a Dividend Aristocrat, with current payout ratio of 68% and 5-year dividend growth CAGR of 5.33%. Weakness in ROE (6.67%) and net profit margin (5.87%) drag the score, reflecting elevated goodwill/intangibles from M&amp;A and integration period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BD is one of the oldest continuously operating healthcare companies in the world (founded 1897), and its 129-year commitment to advancing health represents a validated Just Cause that few companies can match. The company has demonstrated endurance through world wars, technology transitions, and industry consolidation. However, under CEO Tom Polen's leadership, the strategic emphasis on financial engineering through M&amp;A (Edwards acquisition) and operational efficiency ('Unleash Excellence') reflects a more finite orientation than the company's legacy might suggest.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BD's purpose of 'Advancing the world of health' has been validated by 129 years of consistent execution since 1897 — from pioneering glass syringes to blood collection systems to modern connected care solutions [3]. The purpose survived two world wars, the Great Depression, multiple CEO transitions, industry consolidation waves, and technology disruptions. Strategic decisions — from the Embecta spin-off to the Edwards acquisition to the BD 2030 'Unleash Excellence' strategy — clearly trace back to advancing healthcare delivery. Sinek would cite BD's longevity and consistency of purpose as evidence of a genuine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BD's approximately 75,000-person global workforce operates with stable leadership under CEO Tom Polen, who has earned a reputation as a disciplined operator focused on simplification and execution [3]. The resolution of the multi-year Alaris pump FDA regulatory process demonstrated organizational persistence and cross-functional collaboration. However, no specific evidence of exceptional trust culture, employee empowerment practices, or above-average retention was found to distinguish BD from typical large industrial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BD's competitive positioning is framed in market leadership and share defense terms — the company emphasizes its dominant positions in blood collection, medication delivery, and diagnostics rather than acknowledging competitors' strengths as motivation for improvement [1][3]. No evidence was found of management commentary referencing learning from rivals like Abbott, Medtronic, or Siemens Healthineers.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BD has incrementally evolved its business over 129 years — from glass syringes to disposable plastics to automated lab systems to digital connected care — and executed strategic portfolio reshaping through the Embecta diabetes care spin-off (2022) and the $4.2B Edwards Critical Care acquisition (2024) [2]. These are meaningful strategic moves but represent incremental evolution rather than the transformative flexibility Sinek describes. BD has never fully abandoned a core business in the dramatic fashion of Apple or NVDA.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Polen demonstrated courage in pursuing the $4.2B Edwards Critical Care acquisition to pivot BD toward smart connected care and AI-enabled monitoring, and in persisting through years of Alaris infusion pump regulatory remediation rather than abandoning the product line [2][3]. The Embecta spin-off showed willingness to exit a mature business. However, the $17.28B debt load and compressed margins resulting from the Edwards deal suggest financial engineering may have taken priority over patient organic investment, and legacy product liability litigation around surgical mesh remains a lingering governance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BD offers a compelling combination of defensive healthcare positioning, dividend reliability, and embedded transformation optionality at an attractive valuation. At a forward P/E of 11.5x with raised full-year EPS guidance of $12.52-12.72 and a 2.78% dividend yield backed by 54 consecutive years of increases, BDX provides rare valuation compression in a quality medtech franchise [1][5]. The $4.2B Edwards Critical Care acquisition adds AI-enabled clinical monitoring capabilities to BD's dominant positions in blood collection, medication management, and diagnostics, creating a connected care platform with long-term revenue synergy potential [2]. Q2 FY2026 delivered an EPS beat of 3.5% above consensus, demonstrating execution discipline through the integration period.</w:t>
      </w:r>
    </w:p>
    <w:p>
      <w:pPr>
        <w:spacing w:after="120"/>
      </w:pPr>
      <w:r>
        <w:rPr>
          <w:rFonts w:ascii="Calibri" w:hAnsi="Calibri"/>
          <w:b w:val="0"/>
          <w:color w:val="3A4A28"/>
          <w:sz w:val="20"/>
        </w:rPr>
        <w:t>The primary concern is that BD's transformation carries significant financial burden — $17.28B in total debt against only $816M cash leaves the balance sheet leveraged at D/E of 71.6%, while net profit margin of 5.87% reflects integration costs, Alaris remediation expenses, and ongoing surgical mesh litigation that compress returns well below medtech peer averages [1][5]. ROE of 6.67% is less than half the 15% target, indicating that the M&amp;A-heavy strategy has not yet translated into adequate shareholder returns. Revenue growth of 2.6% FX-neutral is below the medtech industry growth rate, raising questions about whether the Edwards acquisition will meaningfully accelerate organic growth or simply add revenue at the cost of balance sheet strain. The legacy surgical mesh product liability litigation represents an unquantified tail risk that could generate additional charges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BD Advanced Patient Monitoring (Edwards Critical Care) revenue synergies materializing as AI-enabled clinical decision support tools are cross-sold into BD's existing hospital customer base of 40,000+ institutions globally</w:t>
      </w:r>
    </w:p>
    <w:p>
      <w:pPr>
        <w:spacing w:before="40" w:after="40"/>
        <w:ind w:left="283"/>
      </w:pPr>
      <w:r>
        <w:rPr>
          <w:rFonts w:ascii="Calibri" w:hAnsi="Calibri"/>
          <w:b/>
          <w:color w:val="4A6B25"/>
          <w:sz w:val="20"/>
        </w:rPr>
        <w:t xml:space="preserve">2. </w:t>
      </w:r>
      <w:r>
        <w:rPr>
          <w:rFonts w:ascii="Calibri" w:hAnsi="Calibri"/>
          <w:b w:val="0"/>
          <w:color w:val="3A4A28"/>
          <w:sz w:val="20"/>
        </w:rPr>
        <w:t>Full-year FY2026 EPS guidance of $12.52-12.72 provides a path to forward P/E re-rating if execution continues and integration costs normalize</w:t>
      </w:r>
    </w:p>
    <w:p>
      <w:pPr>
        <w:spacing w:before="40" w:after="40"/>
        <w:ind w:left="283"/>
      </w:pPr>
      <w:r>
        <w:rPr>
          <w:rFonts w:ascii="Calibri" w:hAnsi="Calibri"/>
          <w:b/>
          <w:color w:val="4A6B25"/>
          <w:sz w:val="20"/>
        </w:rPr>
        <w:t xml:space="preserve">3. </w:t>
      </w:r>
      <w:r>
        <w:rPr>
          <w:rFonts w:ascii="Calibri" w:hAnsi="Calibri"/>
          <w:b w:val="0"/>
          <w:color w:val="3A4A28"/>
          <w:sz w:val="20"/>
        </w:rPr>
        <w:t>BD 2030 'Unleash Excellence' strategy delivering accelerated organic revenue growth above the 2.6% FX-neutral rate as the portfolio simplification benefits compound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debt of $17.28B against $816M cash creates a leveraged balance sheet (D/E 71.6%) with limited financial flexibility if revenue growth disappoints or integration costs exceed projections</w:t>
      </w:r>
    </w:p>
    <w:p>
      <w:pPr>
        <w:spacing w:before="40" w:after="40"/>
        <w:ind w:left="283"/>
      </w:pPr>
      <w:r>
        <w:rPr>
          <w:rFonts w:ascii="Calibri" w:hAnsi="Calibri"/>
          <w:b/>
          <w:color w:val="4A6B25"/>
          <w:sz w:val="20"/>
        </w:rPr>
        <w:t xml:space="preserve">2. </w:t>
      </w:r>
      <w:r>
        <w:rPr>
          <w:rFonts w:ascii="Calibri" w:hAnsi="Calibri"/>
          <w:b w:val="0"/>
          <w:color w:val="3A4A28"/>
          <w:sz w:val="20"/>
        </w:rPr>
        <w:t>ROE of 6.67% and net profit margin of 5.87% are well below medtech peer averages, indicating the M&amp;A-heavy strategy has diluted returns on capital without yet delivering offsetting growth</w:t>
      </w:r>
    </w:p>
    <w:p>
      <w:pPr>
        <w:spacing w:before="40" w:after="40"/>
        <w:ind w:left="283"/>
      </w:pPr>
      <w:r>
        <w:rPr>
          <w:rFonts w:ascii="Calibri" w:hAnsi="Calibri"/>
          <w:b/>
          <w:color w:val="4A6B25"/>
          <w:sz w:val="20"/>
        </w:rPr>
        <w:t xml:space="preserve">3. </w:t>
      </w:r>
      <w:r>
        <w:rPr>
          <w:rFonts w:ascii="Calibri" w:hAnsi="Calibri"/>
          <w:b w:val="0"/>
          <w:color w:val="3A4A28"/>
          <w:sz w:val="20"/>
        </w:rPr>
        <w:t>Legacy surgical mesh product liability litigation represents an unquantified tail risk that could generate material charges and reputational damage if settlements or verdicts escalate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BD's core business of manufacturing physical medical devices — syringes, blood collection tubes, infusion pumps, diagnostic instruments, and surgical products — is structurally immune to AI disruption [1]. Hospitals require physical consumables and instruments that AI cannot substitute; the company's products involve FDA-regulated manufacturing, complex supply chains, and installed base dependencies that create deep moats. AI may actually increase demand for BD's products as AI-driven healthcare expansion requires more diagnostic testing, medication delivery, and patient monitoring infrastructure. The Edwards Critical Care acquisition positions BD as a direct beneficiary of AI in healthcare, with AI-enabled monitoring solutions integrated into hospital workflows [2][3]. AI Opportunity (1/1): BD Advanced Patient Monitoring (the rebranded Edwards Critical Care business) generates meaningful revenue from AI algorithm clinical decision support tools deployed in hospitals, including hemodynamic monitoring and predictive analytics for patient deterioration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BD Q2 FY2026 Earnings Release — revenue $4.714B, adjusted EPS $2.90, full-year guidance raised to $12.52-12.72, May 2026</w:t>
      </w:r>
    </w:p>
    <w:p>
      <w:pPr>
        <w:spacing w:before="20" w:after="20"/>
        <w:ind w:left="170"/>
      </w:pPr>
      <w:r>
        <w:rPr>
          <w:rFonts w:ascii="Calibri" w:hAnsi="Calibri"/>
          <w:b/>
          <w:color w:val="4A6B25"/>
          <w:sz w:val="15"/>
        </w:rPr>
        <w:t xml:space="preserve">2. </w:t>
      </w:r>
      <w:r>
        <w:rPr>
          <w:rFonts w:ascii="Calibri" w:hAnsi="Calibri"/>
          <w:b w:val="0"/>
          <w:color w:val="3A4A28"/>
          <w:sz w:val="17"/>
        </w:rPr>
        <w:t>BD Completes Acquisition of Edwards Lifesciences Critical Care — $4.2B, AI-enabled monitoring, September 2024</w:t>
      </w:r>
    </w:p>
    <w:p>
      <w:pPr>
        <w:spacing w:before="20" w:after="20"/>
        <w:ind w:left="170"/>
      </w:pPr>
      <w:r>
        <w:rPr>
          <w:rFonts w:ascii="Calibri" w:hAnsi="Calibri"/>
          <w:b/>
          <w:color w:val="4A6B25"/>
          <w:sz w:val="15"/>
        </w:rPr>
        <w:t xml:space="preserve">3. </w:t>
      </w:r>
      <w:r>
        <w:rPr>
          <w:rFonts w:ascii="Calibri" w:hAnsi="Calibri"/>
          <w:b w:val="0"/>
          <w:color w:val="3A4A28"/>
          <w:sz w:val="17"/>
        </w:rPr>
        <w:t>BD AI-Driven Connected Care Strategy and CEO Tom Polen Leadership Coverage — ainvest.com, FinancialContent, 2026</w:t>
      </w:r>
    </w:p>
    <w:p>
      <w:pPr>
        <w:spacing w:before="20" w:after="20"/>
        <w:ind w:left="170"/>
      </w:pPr>
      <w:r>
        <w:rPr>
          <w:rFonts w:ascii="Calibri" w:hAnsi="Calibri"/>
          <w:b/>
          <w:color w:val="4A6B25"/>
          <w:sz w:val="15"/>
        </w:rPr>
        <w:t xml:space="preserve">4. </w:t>
      </w:r>
      <w:r>
        <w:rPr>
          <w:rFonts w:ascii="Calibri" w:hAnsi="Calibri"/>
          <w:b w:val="0"/>
          <w:color w:val="3A4A28"/>
          <w:sz w:val="17"/>
        </w:rPr>
        <w:t>BD ESG Reports and 'Together We Advance' Sustainability Initiative — GHG reductions, community health programs,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BDX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