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BEEM</w:t>
      </w:r>
      <w:r>
        <w:rPr>
          <w:rFonts w:ascii="Calibri" w:hAnsi="Calibri"/>
          <w:b/>
          <w:color w:val="1A2010"/>
          <w:sz w:val="40"/>
        </w:rPr>
        <w:t xml:space="preserve">  Beam Global</w:t>
      </w:r>
    </w:p>
    <w:p>
      <w:pPr>
        <w:spacing w:after="120"/>
      </w:pPr>
      <w:r>
        <w:rPr>
          <w:rFonts w:ascii="Calibri" w:hAnsi="Calibri"/>
          <w:b/>
          <w:color w:val="6E8450"/>
          <w:sz w:val="18"/>
        </w:rPr>
        <w:t>GROWTH SLEEVE · 2026-08-02 · Inspire: 71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Solar · NASDAQ · United States</w:t>
      </w:r>
    </w:p>
    <w:p>
      <w:pPr>
        <w:spacing w:after="80"/>
      </w:pPr>
      <w:r>
        <w:rPr>
          <w:rFonts w:ascii="Calibri" w:hAnsi="Calibri"/>
          <w:b w:val="0"/>
          <w:color w:val="3A4A28"/>
          <w:sz w:val="20"/>
        </w:rPr>
        <w:t>Beam Global designs, develops, manufactures, and sells renewably energized infrastructure products and battery solutions including EV ARC solar-powered autonomous EV charging stations, BeamBike solar e-bike chargers, AllCell energy storage systems, drone battery systems, and wildfire detection technologies. The company operates across EV charging, energy storage, defense, AI-driven robotics, and smart city infrastructure markets, deployed in 30+ cities across five countries. Headquartered in San Diego with facilities in Chicago, Belgrade, and Kraljevo.</w:t>
      </w:r>
    </w:p>
    <w:p>
      <w:r>
        <w:rPr>
          <w:rFonts w:ascii="Calibri" w:hAnsi="Calibri"/>
          <w:b/>
          <w:color w:val="6E8450"/>
          <w:sz w:val="18"/>
        </w:rPr>
        <w:t>197 Employees · https://www.beamforall.com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Beam Global has meaningfully diversified beyond its original EV ARC product, with Q2 2026 revenues generated across drone battery systems, defense and military applications, AI-driven robotics and industrial applications, wildfire detection technologies, battery energy storage, off-grid EV charging, and smart city infrastructure in 30+ cities across five countries [1]. The first commercial sale in the Middle East and continued European expansion represent genuine new market penetration. However, the company has not achieved a transformative breakout — FY2025 revenue declined 42.8% to $28.2M after government contract losses [2]. AI Deployment (1/2): Q2 2026 revenue includes contributions from 'AI-driven robotics and industrial applications,' indicating AI-powered products are shipping to customers [1]. However, no specific AI revenue figures or AI-driven cost savings have been quantified. Market Share (1/2): Beam Global is the pioneer and leading manufacturer of autonomous, off-grid solar EV charging infrastructure, a category it essentially created with the patented EV ARC product [3]. But the addressable market is niche and the $25M market cap reflects limited commercial traction at scale. Product Pipeline (1/2): 160mph wind-rated EV ARC variants, BeamBike solar e-bike charger (charges 12 bikes simultaneously), drone battery platforms, and wildfire detection systems represent specific products with defined use cases [3][5]. R&amp;D Intensity (1/1): Deep patent portfolio with high R&amp;D spending relative to revenue for a company this size, reflecting genuine commitment to product innovation in renewable infrastructure.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Beam Global's mission to 'Lead the World to Clean Mobility' is specific, idealistic, and connects the company's work to environmental sustainability and climate action [3]. CEO Desmond Wheatley describes the work as 'the perfect nexus of everything he has ever done professionally and everything he believes in philosophically,' and the leadership team is described as 'hell-bent on changing the world.' This is not boilerplate — it reflects genuine personal conviction that shapes strategic decisions. Community Impact (0/2): The Massachusetts CommunityEV Carshare pilot and deployments in 30+ cities serve underserved communities, but these are commercial sales rather than charitable programs [5]. No specific foundation activities or charitable giving with dollar amounts were identified. Employee Retention (1/2): CEO Wheatley has led continuously since 2011 (15 years), providing extraordinary leadership stability for a micro-cap through the traumatic 43% revenue decline in 2025 [3]. The 197-person workforce maintained operational coherence through the government-to-commercial pivot. Insider Buying (0/2): No meaningful net insider open-market buying by executives identified in the last 12 months; insider transactions appear primarily compensation-related.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AT RISK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FAILURE: Average daily volume of 348,252 shares at $1.05 = $365,665 daily dollar volume, well below the $1M minimum threshold [4]. Infrastructure score is automatically 0. For reference, the underlying financials remain deeply distressed: Q1 2026 revenue of $3.1M declined 51% YoY with a $6.9M net loss ($0.33/share) [2]. Q2 2026 preliminary revenue of &gt;$8.5M (up 170% sequentially, up 20% YoY) shows recovery with 15-18% GAAP gross margin estimated [1], but the company remains deeply unprofitable. D/E of 8% is conservative ($1.63M debt, $1.97M cash), but ROE is severely negative and profit margin reflects massive operating losses on $28.2M FY2025 revenue [4]. The stock has declined from $1.86 to $1.05 (44% decline) since the prior screen, and the $25M market cap approaches penny stock territory.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Beam Global demonstrates genuine infinite game commitment through CEO Wheatley's 15-year leadership tenure and unwavering clean energy mission, sustained through a devastating 43% revenue decline and government contract losses in 2025. The willingness to pivot from government to commercial customers, diversify into defense, drones, and wildfire detection, and expand internationally across five countries — all while remaining mission-aligned — shows purpose-driven resilience. However, the severe financial distress ($25M market cap, $1.05 stock price) raises fundamental questions about long-term viability.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Beam Global's cause — leading the world to clean mobility through renewable energy infrastructure — is genuine, specific, and consistently lived out through 15 years of CEO Wheatley's leadership [3]. The cause shapes strategic decisions: the company diversified into drone batteries, defense, and wildfire detection while maintaining its clean technology core rather than chasing unrelated revenue. Wheatley describes the mission as philosophically aligned with his core beliefs. However, the cause has not been validated through decades of profitable commercial execution — the company is still proving it can survive.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197-person organization maintained operational coherence through a traumatic 43% revenue decline and complete business model pivot from government to commercial customers. CEO Wheatley's 15-year tenure provides leadership stability, and the team operates across San Diego, Chicago, Belgrade, and Kraljevo [3]. The small size inherently creates closer working relationships and shared mission commitment. However, no specific data on voluntary turnover, employee tenure, or cultural practices creating exceptional trust is available.</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Beam Global competes in the broader EV charging market alongside ChargePoint, Blink, and Tesla Superchargers but occupies a distinct niche in autonomous off-grid solar charging [3]. Management focuses on the unique value proposition of no-construction, no-permitting deployment rather than attacking rivals, and frames the market as an expanding ecosystem where multiple players can succeed.</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Beam Global has significantly expanded beyond its original EV ARC product into drone battery systems, defense and military applications, AI-driven robotics, wildfire detection, and smart city infrastructure, deployed across five countries [1]. The pivot from 62% government revenue (2024) to 72% commercial revenue (2025) forced by federal policy reversal represents meaningful strategic adaptation. These expansions diversify revenue but the core technology platform (solar + batteries + charging) remains fundamentally the same.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Beam Global demonstrated courage by pivoting from government dependence to commercial customers and international markets after the federal fleet electrification reversal devastated revenue by 43% in 2025 [2]. Rather than retrenching, the company expanded its product portfolio into drone batteries, defense applications, and wildfire detection, investing in R&amp;D during a period of massive losses. The first Middle East commercial sale and European expansion show continued offensive investment [1]. However, the magnitude of losses ($27M on $28M revenue) raises the question of whether this represents courage or lack of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Beam Global is showing early signs of revenue recovery and product diversification after its devastating 2025. Q2 2026 preliminary revenue exceeded $8.5M, up more than 170% sequentially from $3.1M in Q1 and 20% YoY, with 15-18% estimated GAAP gross margins [1]. Revenue is now generated across six product categories — drone batteries, defense/military, AI robotics, wildfire detection, energy storage, and EV charging — deployed in 30+ cities across five countries with the first Middle East commercial sale [1]. CEO Wheatley's 15-year leadership tenure and the company's deep patent portfolio in autonomous solar infrastructure provide differentiated positioning. At $25M market cap with minimal debt (D/E 8%), Beam offers high-risk exposure to the clean mobility infrastructure buildout if the Q2 recovery trajectory sustains. The Inspire Impact Score of 71 (ALIGNED) reflects a business model inherently tied to clean energy and sustainability.</w:t>
      </w:r>
    </w:p>
    <w:p>
      <w:pPr>
        <w:spacing w:after="120"/>
      </w:pPr>
      <w:r>
        <w:rPr>
          <w:rFonts w:ascii="Calibri" w:hAnsi="Calibri"/>
          <w:b w:val="0"/>
          <w:color w:val="3A4A28"/>
          <w:sz w:val="20"/>
        </w:rPr>
        <w:t>The bear case is severe and potentially existential. The stock has declined 44% from $1.86 to $1.05 since the prior screen, and the $25M market cap is approaching penny stock territory where institutional participation is effectively impossible [4]. Daily dollar volume of $366K is well below the $1M liquidity threshold, making the stock uninvestable for IOWN position sizing. FY2025 posted a $27M net loss on $28M revenue (-95.6% margin), and Q1 2026 revenue of $3.1M (down 51% YoY) with a $6.9M net loss shows the burn rate remains unsustainable [2]. Even with Q2's 170% sequential improvement, annualized revenue of ~$23M at Q2 rates would still fall below FY2025 levels. Cash of $1.97M against $1.63M debt leaves virtually no liquidity buffer — one delayed customer payment could trigger a going-concern event. Competition from well-capitalized EV charging players (ChargePoint, Blink, Tesla) with broader product portfolios and deeper customer relationships threatens to marginalize Beam's niche position.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Q2 2026 preliminary revenue exceeding $8.5M (up 170% sequentially, 20% YoY) with improving 15-18% gross margins signals potential inflection point toward sustainable revenue growth [1]</w:t>
      </w:r>
    </w:p>
    <w:p>
      <w:pPr>
        <w:spacing w:before="40" w:after="40"/>
        <w:ind w:left="283"/>
      </w:pPr>
      <w:r>
        <w:rPr>
          <w:rFonts w:ascii="Calibri" w:hAnsi="Calibri"/>
          <w:b/>
          <w:color w:val="4A6B25"/>
          <w:sz w:val="20"/>
        </w:rPr>
        <w:t xml:space="preserve">2. </w:t>
      </w:r>
      <w:r>
        <w:rPr>
          <w:rFonts w:ascii="Calibri" w:hAnsi="Calibri"/>
          <w:b w:val="0"/>
          <w:color w:val="3A4A28"/>
          <w:sz w:val="20"/>
        </w:rPr>
        <w:t>Product diversification into drone battery systems, defense/military, and wildfire detection technologies reduces dependence on cyclical EV charging market and opens higher-margin revenue streams [1]</w:t>
      </w:r>
    </w:p>
    <w:p>
      <w:pPr>
        <w:spacing w:before="40" w:after="40"/>
        <w:ind w:left="283"/>
      </w:pPr>
      <w:r>
        <w:rPr>
          <w:rFonts w:ascii="Calibri" w:hAnsi="Calibri"/>
          <w:b/>
          <w:color w:val="4A6B25"/>
          <w:sz w:val="20"/>
        </w:rPr>
        <w:t xml:space="preserve">3. </w:t>
      </w:r>
      <w:r>
        <w:rPr>
          <w:rFonts w:ascii="Calibri" w:hAnsi="Calibri"/>
          <w:b w:val="0"/>
          <w:color w:val="3A4A28"/>
          <w:sz w:val="20"/>
        </w:rPr>
        <w:t>International expansion to 30+ cities across five countries, including first Middle East commercial sale, provides geographic diversification away from U.S. federal policy uncertainty [1][5]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Existential financial risk — $27M net loss on $28M FY2025 revenue with only $1.97M cash and $25M market cap approaching penny stock territory; survival depends on sustained revenue acceleration and/or capital raises [2][4]</w:t>
      </w:r>
    </w:p>
    <w:p>
      <w:pPr>
        <w:spacing w:before="40" w:after="40"/>
        <w:ind w:left="283"/>
      </w:pPr>
      <w:r>
        <w:rPr>
          <w:rFonts w:ascii="Calibri" w:hAnsi="Calibri"/>
          <w:b/>
          <w:color w:val="4A6B25"/>
          <w:sz w:val="20"/>
        </w:rPr>
        <w:t xml:space="preserve">2. </w:t>
      </w:r>
      <w:r>
        <w:rPr>
          <w:rFonts w:ascii="Calibri" w:hAnsi="Calibri"/>
          <w:b w:val="0"/>
          <w:color w:val="3A4A28"/>
          <w:sz w:val="20"/>
        </w:rPr>
        <w:t>Liquidity floor failure — $366K daily dollar volume prevents institutional participation and makes position entry/exit problematic; stock at $1.05 is effectively uninvestable for IOWN portfolio construction [4]</w:t>
      </w:r>
    </w:p>
    <w:p>
      <w:pPr>
        <w:spacing w:before="40" w:after="40"/>
        <w:ind w:left="283"/>
      </w:pPr>
      <w:r>
        <w:rPr>
          <w:rFonts w:ascii="Calibri" w:hAnsi="Calibri"/>
          <w:b/>
          <w:color w:val="4A6B25"/>
          <w:sz w:val="20"/>
        </w:rPr>
        <w:t xml:space="preserve">3. </w:t>
      </w:r>
      <w:r>
        <w:rPr>
          <w:rFonts w:ascii="Calibri" w:hAnsi="Calibri"/>
          <w:b w:val="0"/>
          <w:color w:val="3A4A28"/>
          <w:sz w:val="20"/>
        </w:rPr>
        <w:t>Revenue volatility — Q1 2026 declined 51% YoY before Q2 surged 170% sequentially, demonstrating extreme quarterly lumpiness that makes financial planning and valuation unreliable; annualized Q2 revenue still below FY2025 levels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Beam Global's core business is designing and manufacturing physical solar-powered EV charging infrastructure, battery storage systems, and drone battery platforms — hardware products involving solar panels, batteries, steel structures, and electrical systems that AI cannot digitally substitute [3]. The EV ARC requires no construction or permitting, which is a physical deployment advantage. Manufacturing, logistics, installation, and maintenance of these systems have no AI substitution pathway. The company's deep patent portfolio and niche positioning in autonomous renewable charging add IP-based protection. However, AI could help competitors optimize product design or charging algorithms faster than Beam's small R&amp;D team. AI Opportunity (0/1): Q2 2026 revenues include contributions from 'AI-driven robotics and industrial applications,' suggesting some AI-related revenue [1]. However, no specific AI revenue figures or percentages were cited in public disclosures.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71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Beam Global Q2 2026 Preliminary Revenue Announcement — globenewswire.com, July 14, 2026; &gt;$8.5M revenue, up 170% QoQ, 20% YoY, 15-18% gross margin</w:t>
      </w:r>
    </w:p>
    <w:p>
      <w:pPr>
        <w:spacing w:before="20" w:after="20"/>
        <w:ind w:left="170"/>
      </w:pPr>
      <w:r>
        <w:rPr>
          <w:rFonts w:ascii="Calibri" w:hAnsi="Calibri"/>
          <w:b/>
          <w:color w:val="4A6B25"/>
          <w:sz w:val="15"/>
        </w:rPr>
        <w:t xml:space="preserve">2. </w:t>
      </w:r>
      <w:r>
        <w:rPr>
          <w:rFonts w:ascii="Calibri" w:hAnsi="Calibri"/>
          <w:b w:val="0"/>
          <w:color w:val="3A4A28"/>
          <w:sz w:val="17"/>
        </w:rPr>
        <w:t>Beam Global Q1 2026 Financial Results — beamforall.com, May 15, 2026; $3.1M revenue (-51% YoY), net loss $6.9M ($0.33/share)</w:t>
      </w:r>
    </w:p>
    <w:p>
      <w:pPr>
        <w:spacing w:before="20" w:after="20"/>
        <w:ind w:left="170"/>
      </w:pPr>
      <w:r>
        <w:rPr>
          <w:rFonts w:ascii="Calibri" w:hAnsi="Calibri"/>
          <w:b/>
          <w:color w:val="4A6B25"/>
          <w:sz w:val="15"/>
        </w:rPr>
        <w:t xml:space="preserve">3. </w:t>
      </w:r>
      <w:r>
        <w:rPr>
          <w:rFonts w:ascii="Calibri" w:hAnsi="Calibri"/>
          <w:b w:val="0"/>
          <w:color w:val="3A4A28"/>
          <w:sz w:val="17"/>
        </w:rPr>
        <w:t>Beam Global Products, Mission, and Leadership — beamforall.com; CEO Desmond Wheatley since 2011, EV ARC, BeamBike, AllCell, patent portfolio</w:t>
      </w:r>
    </w:p>
    <w:p>
      <w:pPr>
        <w:spacing w:before="20" w:after="20"/>
        <w:ind w:left="170"/>
      </w:pPr>
      <w:r>
        <w:rPr>
          <w:rFonts w:ascii="Calibri" w:hAnsi="Calibri"/>
          <w:b/>
          <w:color w:val="4A6B25"/>
          <w:sz w:val="15"/>
        </w:rPr>
        <w:t xml:space="preserve">4. </w:t>
      </w:r>
      <w:r>
        <w:rPr>
          <w:rFonts w:ascii="Calibri" w:hAnsi="Calibri"/>
          <w:b w:val="0"/>
          <w:color w:val="3A4A28"/>
          <w:sz w:val="17"/>
        </w:rPr>
        <w:t>StockAnalysis.com — BEEM Key Statistics, Stock Price, Financial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Beam Global Massachusetts CommunityEV Carshare Pilot — globenewswire.com, July 30,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