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BGC</w:t>
      </w:r>
      <w:r>
        <w:rPr>
          <w:rFonts w:ascii="Calibri" w:hAnsi="Calibri"/>
          <w:b/>
          <w:color w:val="1A2010"/>
          <w:sz w:val="40"/>
        </w:rPr>
        <w:t xml:space="preserve">  BGC Group, Inc.</w:t>
      </w:r>
    </w:p>
    <w:p>
      <w:pPr>
        <w:spacing w:after="120"/>
      </w:pPr>
      <w:r>
        <w:rPr>
          <w:rFonts w:ascii="Calibri" w:hAnsi="Calibri"/>
          <w:b/>
          <w:color w:val="6E8450"/>
          <w:sz w:val="18"/>
        </w:rPr>
        <w:t>GROWTH SLEEVE · 2026-07-13 · Inspire: 41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BGC Group is a global financial technology and brokerage company operating marketplace, data, and financial services platforms for fixed income, FX, energy, commodities, shipping, and equities. The company operates the FMX electronic exchange (including FMX UST and FMX Futures), Fenics electronic trading platforms, Lucera networking, and PortfolioMatch. Founded by Howard Lutnick (now US Secretary of Commerce), the company is led by three co-CEOs: John Abularrage, JP Aubin, and Sean Windeatt. Headquartered in New York. Market cap approximately $5.1 billion.</w:t>
      </w:r>
    </w:p>
    <w:p>
      <w:r>
        <w:rPr>
          <w:rFonts w:ascii="Calibri" w:hAnsi="Calibri"/>
          <w:b/>
          <w:color w:val="6E8450"/>
          <w:sz w:val="18"/>
        </w:rPr>
        <w:t>4,560 Employees · https://www.bgcg.com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BGC has executed one of the most transformative launches in financial services history — FMX UST achieved a record quarterly average daily volume of $89.7B and approximately 41% CLOB market share in Q1 2026, directly challenging CME's century-old monopoly on US Treasury trading [1]. The company transformed from a traditional voice brokerage (BGC Partners) to a financial technology company (BGC Group) through the 2023 corporate restructuring. Q1 2026 revenue surged 43.8% to $955.5M, driven by broad-based growth across every asset class and geography [1]. AI Deployment (0/2): No specific AI-powered products shipping or quantified AI-driven cost savings reported. Fenics electronic trading uses algorithmic capabilities but these are not marketed or quantified as AI initiatives. Market Share (2/2): FMX UST has captured approximately 41% CLOB market share in the US Treasury cash market — the largest bond market in the world — from a standing start, representing category-defining share gains [1]. Product Pipeline (2/2): FMX Futures exchange is scaling to compete directly with CME's interest rate futures business, with Fenics Growth Platforms (PortfolioMatch, Lucera) expanding into new fixed income and FX products [1]. Q2 2026 revenue guided at $785-$845M indicates continued platform momentum. R&amp;D Intensity (1/1): Significant technology investment in electronic trading infrastructure, exchange development, and platform scaling, consistent with fintech industry leaders.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BGC Group's mission emphasizes 'innovation, superior client service, and ethics' in financial markets — clear but not distinctive among financial technology companies [4]. The company's founding resilience story (Cantor Fitzgerald / 9/11 recovery under Lutnick) is powerful but belongs to the broader Cantor Fitzgerald family rather than BGC specifically, and Lutnick's departure to government service weakens the personal connection. Community Impact (1/2): BGC's environmental brokerage and weather derivatives business supports energy transition by facilitating carbon credit and renewable energy certificate trading [4]. The company has an ESG Committee at the board level overseeing corporate responsibility. However, no major charitable foundation or specific community investment dollar amounts were identified. Employee Retention (0/2): The transition from founder-CEO Howard Lutnick to three co-CEOs (Abularrage, Aubin, Windeatt) in February 2025 is the defining organizational event [3]. While Q1 2026 results suggest institutional stability, no specific employee retention or turnover data was disclosed, and the leadership transition introduces meaningful cultural uncertainty. Insider Buying (0/2): No notable open-market insider buying identified in the last 12 months. BGC repurchased 16.4M shares from Lutnick upon his departure, which is a corporate share buyback, not insider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Q1 2026 revenue of $955.5M (+43.8% YoY) with adjusted pre-tax earnings of $232.1M (+44.9% YoY, 24.3% margin) demonstrate exceptional top-line and profitability momentum [1]. Forward P/E of 7.63 and PEG of 0.43 are extraordinarily attractive for a company growing revenue at 43.8% — reflecting market skepticism about sustainability and the leadership transition [2]. GAAP profit margin of 5.93% is low due to partner distribution charges, stock-based compensation, and amortization, though adjusted margins are 24%+. D/E of 157% is elevated but well below the 300% floor. Calculation: D/E 157% scores 0.62, ROE 14.6% scores 0.97 (2x weight), Rev YoY 43.8% scores 1.0, Rev 5yr CAGR ~11.5% scores 1.0 (2x weight), Fwd P/E 7.63 scores 1.0, Profit Margin 5.93% scores 0.30, Fwd PEG 0.43 scores 1.0 (2x weight). Weighted sum 8.87 / max 10 = 8.9, rounds to 9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BGC Group demonstrates exceptional infinite game characteristics through its audacious multi-year bet on FMX to disrupt CME's Treasury market monopoly, and its genuine transformation from a voice brokerage to a financial technology company. The courage required to invest hundreds of millions against the most entrenched incumbent in financial markets, with no guarantee of success, is among the most striking examples of Sinek's Courage to Lead in public markets today. The founder's departure to government service is the key risk — the cause must now survive without its architect.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BGC's purpose of democratizing financial markets through electronic trading and breaking monopolistic market structures is genuine, distinctive, and validated by execution — FMX UST achieved 41% CLOB market share directly challenging CME's century-old dominance [1]. Strategic decisions (years of FMX investment without revenue, divestiture of $165M in low-growth assets to fund FMX, corporate restructuring to BGC Group) trace clearly to this purpose. However, the cause has not yet been tested through a multi-decade cycle or a crisis beyond the founder's departure — and Lutnick's exit raises the question of whether the cause can endure without its architect.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smooth transition from founder-CEO Howard Lutnick to three co-CEOs (Abularrage, Aubin, Windeatt) in February 2025, with Q1 2026 delivering record 43.8% revenue growth, suggests strong institutional capabilities and bench strength [3]. The employee ownership culture and stable organizational dynamics indicate adequate trust. However, three co-CEOs is an unusual governance structure that creates potential decision-making friction, and no specific employee retention or cultural data was disclosed to confirm organizational trust at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BGC openly acknowledges CME Group as the dominant incumbent whose market structure advantages push BGC to innovate more aggressively [1]. The competitive framing is about 'opening up markets' and 'bringing competition to monopolistic structures' rather than destroying a rival — the FMX launch is motivated by a vision of better market structure, not just market share capture. This is textbook worthy rival thinking in Sinek's framework.</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BGC has genuinely reinvented itself — transforming from a traditional voice interdealer broker (Cantor Fitzgerald heritage) into an electronic trading and exchange operator through Fenics, Lucera, and FMX [1]. The 2023 corporate restructuring from BGC Partners to BGC Group formalized this identity shift. FMX UST and FMX Futures represent entirely new business lines that could eventually eclipse legacy voice brokerage revenue. This transformation was driven by the purpose of modernizing market structure, not by desperation — the voice brokerage was still profitable when the pivot began.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Launching FMX to directly challenge CME's century-old monopoly on US Treasury futures required hundreds of millions in investment over multiple years with no guarantee of success — this is among the most audacious competitive bets in recent financial market history [1]. Divesting $165M in profitable but low-growth Fenics businesses to fund the FMX build-out demonstrates willingness to sacrifice current earnings for long-term capability. The decision to continue this investment through market cycles, under analyst pressure to show near-term profitability, reflects a pattern of choosing right over easy.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BGC Group is executing one of the most impressive platform transformations in financial services — FMX UST achieved a record $89.7B quarterly ADV with approximately 41% CLOB market share, directly challenging CME's monopoly on US Treasury trading [1]. Q1 2026 revenue surged 43.8% to $955.5M with adjusted pre-tax earnings of $232.1M (+44.9%, 24.3% margin), demonstrating that the FMX investment is generating substantial returns [1]. At a forward P/E of 7.63 and PEG of 0.43, the stock trades at an extraordinary discount to its growth rate — the market appears to be pricing in significant risk from the Lutnick departure and the three co-CEO governance structure. A $35M cost reduction program adds margin tailwind. The environmental brokerage and weather derivatives business provides additional secular growth from energy transition markets.</w:t>
      </w:r>
    </w:p>
    <w:p>
      <w:pPr>
        <w:spacing w:after="120"/>
      </w:pPr>
      <w:r>
        <w:rPr>
          <w:rFonts w:ascii="Calibri" w:hAnsi="Calibri"/>
          <w:b w:val="0"/>
          <w:color w:val="3A4A28"/>
          <w:sz w:val="20"/>
        </w:rPr>
        <w:t>The bear case centers on execution risk following the departure of founder-CEO Howard Lutnick to become US Secretary of Commerce [3]. The three co-CEO governance structure (Abularrage, Aubin, Windeatt) is untested and unusual for a company of this complexity. If FMX Futures fails to gain critical mass against CME's deeply entrenched interest rate futures franchise, the platform investment may not generate adequate returns. GAAP profit margin of 5.93% is structurally low due to partner distribution charges and intangible amortization — investors relying on adjusted earnings (24.3% margin) must trust that the adjustments are legitimate. D/E of 157% is elevated for a financial services company and constrains flexibility in a markets downturn [2]. Q2 2026 revenue guidance of $785-$845M implies meaningful sequential deceleration from Q1's $955.5M, suggesting seasonal volatility. Political exposure through Lutnick's Commerce Secretary role creates an unusual reputational overhang.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FMX Futures exchange scaling above 1% market share — each additional percentage point of CME interest rate futures volume creates outsized operating leverage on BGC's fixed-cost exchange infrastructure</w:t>
      </w:r>
    </w:p>
    <w:p>
      <w:pPr>
        <w:spacing w:before="40" w:after="40"/>
        <w:ind w:left="283"/>
      </w:pPr>
      <w:r>
        <w:rPr>
          <w:rFonts w:ascii="Calibri" w:hAnsi="Calibri"/>
          <w:b/>
          <w:color w:val="4A6B25"/>
          <w:sz w:val="20"/>
        </w:rPr>
        <w:t xml:space="preserve">2. </w:t>
      </w:r>
      <w:r>
        <w:rPr>
          <w:rFonts w:ascii="Calibri" w:hAnsi="Calibri"/>
          <w:b w:val="0"/>
          <w:color w:val="3A4A28"/>
          <w:sz w:val="20"/>
        </w:rPr>
        <w:t>Continued FMX UST CLOB market share gains above 41% with expanding ADV, validating the multi-year exchange investment and justifying re-rating of the forward P/E from 7.63 toward growth-company multiples</w:t>
      </w:r>
    </w:p>
    <w:p>
      <w:pPr>
        <w:spacing w:before="40" w:after="40"/>
        <w:ind w:left="283"/>
      </w:pPr>
      <w:r>
        <w:rPr>
          <w:rFonts w:ascii="Calibri" w:hAnsi="Calibri"/>
          <w:b/>
          <w:color w:val="4A6B25"/>
          <w:sz w:val="20"/>
        </w:rPr>
        <w:t xml:space="preserve">3. </w:t>
      </w:r>
      <w:r>
        <w:rPr>
          <w:rFonts w:ascii="Calibri" w:hAnsi="Calibri"/>
          <w:b w:val="0"/>
          <w:color w:val="3A4A28"/>
          <w:sz w:val="20"/>
        </w:rPr>
        <w:t>Cost reduction program delivering $35M in annualized savings combined with revenue growth driving adjusted pre-tax margin expansion beyond the 24.3% achieved in Q1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Three co-CEO governance structure is untested and creates potential decision-making friction — the departure of visionary founder Lutnick removes the architect of the FMX strategy and BGC's cultural identity</w:t>
      </w:r>
    </w:p>
    <w:p>
      <w:pPr>
        <w:spacing w:before="40" w:after="40"/>
        <w:ind w:left="283"/>
      </w:pPr>
      <w:r>
        <w:rPr>
          <w:rFonts w:ascii="Calibri" w:hAnsi="Calibri"/>
          <w:b/>
          <w:color w:val="4A6B25"/>
          <w:sz w:val="20"/>
        </w:rPr>
        <w:t xml:space="preserve">2. </w:t>
      </w:r>
      <w:r>
        <w:rPr>
          <w:rFonts w:ascii="Calibri" w:hAnsi="Calibri"/>
          <w:b w:val="0"/>
          <w:color w:val="3A4A28"/>
          <w:sz w:val="20"/>
        </w:rPr>
        <w:t>FMX Futures stalling below critical mass against CME's deeply entrenched Treasury futures monopoly would impair the core growth thesis and leave hundreds of millions in exchange investment with inadequate returns</w:t>
      </w:r>
    </w:p>
    <w:p>
      <w:pPr>
        <w:spacing w:before="40" w:after="40"/>
        <w:ind w:left="283"/>
      </w:pPr>
      <w:r>
        <w:rPr>
          <w:rFonts w:ascii="Calibri" w:hAnsi="Calibri"/>
          <w:b/>
          <w:color w:val="4A6B25"/>
          <w:sz w:val="20"/>
        </w:rPr>
        <w:t xml:space="preserve">3. </w:t>
      </w:r>
      <w:r>
        <w:rPr>
          <w:rFonts w:ascii="Calibri" w:hAnsi="Calibri"/>
          <w:b w:val="0"/>
          <w:color w:val="3A4A28"/>
          <w:sz w:val="20"/>
        </w:rPr>
        <w:t>D/E of 157% constrains financial flexibility in a markets downturn, and GAAP profit margin of 5.93% obscures true profitability behind partner distribution charges and amortization adjustments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BGC is positioned as a beneficiary of AI-driven market evolution rather than a victim. Its FMX and Fenics electronic trading platforms ARE the technology infrastructure displacing legacy voice brokerage — the company is actively automating its own legacy business before competitors can [1]. Regulatory requirements (exchange licensing, clearing, compliance), network effects (liquidity begets liquidity on FMX), and proprietary data from processing $89.7B in daily Treasury volume create structural moats that AI competitors cannot easily replicate. However, legacy voice brokerage revenue (still a meaningful portion) faces ongoing AI/electronic trading automation pressure, and well-capitalized competitors (CME, ICE, Tradeweb) are investing heavily in technology. AI Opportunity (0/1): No specific AI revenue stream quantified. Fenics electronic trading platforms generate technology revenue but are not marketed or reported as AI-powered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BGC Group Q1 2026 Earnings Release — $955.5M revenue (+43.8%), $232.1M adjusted pre-tax earnings, FMX UST $89.7B ADV, 41% CLOB share, StockTitan/SEC May 2026</w:t>
      </w:r>
    </w:p>
    <w:p>
      <w:pPr>
        <w:spacing w:before="20" w:after="20"/>
        <w:ind w:left="170"/>
      </w:pPr>
      <w:r>
        <w:rPr>
          <w:rFonts w:ascii="Calibri" w:hAnsi="Calibri"/>
          <w:b/>
          <w:color w:val="4A6B25"/>
          <w:sz w:val="15"/>
        </w:rPr>
        <w:t xml:space="preserve">2. </w:t>
      </w:r>
      <w:r>
        <w:rPr>
          <w:rFonts w:ascii="Calibri" w:hAnsi="Calibri"/>
          <w:b w:val="0"/>
          <w:color w:val="3A4A28"/>
          <w:sz w:val="17"/>
        </w:rPr>
        <w:t>Stock Analysis — BGC Key Statistics and Financial Data,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BGC Group Press Release — Howard Lutnick confirmed as US Secretary of Commerce, three co-CEOs appointed, PRNewswire February 2025</w:t>
      </w:r>
    </w:p>
    <w:p>
      <w:pPr>
        <w:spacing w:before="20" w:after="20"/>
        <w:ind w:left="170"/>
      </w:pPr>
      <w:r>
        <w:rPr>
          <w:rFonts w:ascii="Calibri" w:hAnsi="Calibri"/>
          <w:b/>
          <w:color w:val="4A6B25"/>
          <w:sz w:val="15"/>
        </w:rPr>
        <w:t xml:space="preserve">4. </w:t>
      </w:r>
      <w:r>
        <w:rPr>
          <w:rFonts w:ascii="Calibri" w:hAnsi="Calibri"/>
          <w:b w:val="0"/>
          <w:color w:val="3A4A28"/>
          <w:sz w:val="17"/>
        </w:rPr>
        <w:t>BGC Group Corporate Responsibility and ESG — bgcg.com,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TradingView / IndexBox — BGC Q1 2026 Financial Results Analysis,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