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w:t>
      </w:r>
      <w:r>
        <w:rPr>
          <w:rFonts w:ascii="Calibri" w:hAnsi="Calibri"/>
          <w:b/>
          <w:color w:val="1A2010"/>
          <w:sz w:val="40"/>
        </w:rPr>
        <w:t xml:space="preserve">  Bunge Global SA</w:t>
      </w:r>
    </w:p>
    <w:p>
      <w:pPr>
        <w:spacing w:after="120"/>
      </w:pPr>
      <w:r>
        <w:rPr>
          <w:rFonts w:ascii="Calibri" w:hAnsi="Calibri"/>
          <w:b/>
          <w:color w:val="6E8450"/>
          <w:sz w:val="18"/>
        </w:rPr>
        <w:t>DIVIDEND SLEEVE · 2026-07-21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Agribusiness · NYSE · United States</w:t>
      </w:r>
    </w:p>
    <w:p>
      <w:pPr>
        <w:spacing w:after="80"/>
      </w:pPr>
      <w:r>
        <w:rPr>
          <w:rFonts w:ascii="Calibri" w:hAnsi="Calibri"/>
          <w:b w:val="0"/>
          <w:color w:val="3A4A28"/>
          <w:sz w:val="20"/>
        </w:rPr>
        <w:t>Bunge Global SA is one of the world's leading agribusiness and food companies, operating in the origination, processing, and distribution of oilseeds, grains, and agricultural commodities. Following the completion of its merger with Viterra on July 2, 2025, Bunge is the world's largest global oilseed processor and a top-3 grain merchandiser alongside Cargill and ADM, with operations spanning over 40 countries. CEO Greg Heckman declared the combined company 'stronger, more agile and better positioned than at any point in our 200-year history.' Headquartered in St. Louis, Missouri.</w:t>
      </w:r>
    </w:p>
    <w:p>
      <w:r>
        <w:rPr>
          <w:rFonts w:ascii="Calibri" w:hAnsi="Calibri"/>
          <w:b/>
          <w:color w:val="6E8450"/>
          <w:sz w:val="18"/>
        </w:rPr>
        <w:t>34,000 Employees · https://www.bunge.com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Bunge completed the transformative Viterra merger (July 2, 2025), creating the world's largest oilseed processor with dramatically expanded grain merchandising volumes — Q1 2026 revenue of $21.86B nearly doubled from $11.64B a year earlier [1]. The March 2026 Investor Day established a mid-cycle EPS baseline of approximately $13 with a target of at least $15 by 2030, and FY2026 guidance was raised from $7.50-$8.00 to $9.00-$9.50 adjusted EPS [2]. CEO Heckman's financial discipline since his 2019 appointment has strengthened operations. AI Deployment (0/2): No specific AI-powered products, customer-facing AI applications, or quantified AI-driven cost savings have been publicly disclosed. The company uses data analytics for supply chain optimization but has not reported measurable AI results [2]. Market Share (2/2): Post-Viterra merger, Bunge is the world's largest oilseed processor and a top-3 global grain trader alongside Cargill and ADM, with dominant positioning in South American soy origination and unmatched global crush capacity [1][2]. Product Pipeline (1/2): The raised FY2026 guidance ($9.00-$9.50 adjusted EPS) and $15+ mid-cycle EPS target by 2030 provide good long-term visibility. Expansion into renewable diesel feedstock adds growth optionality [2]. However, no transformative product launches or market entries beyond integration synergies. R&amp;D Intensity (0/1): R&amp;D spending is minimal as a commodity processing company; innovation comes through operational efficiency, supply chain optimization, and scale economies rather than traditional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Bunge's purpose centers on connecting farmers to consumers to deliver essential food, feed, and fuel — a clear and socially valuable mission that identifies the company's role in global food security but is not deeply distinctive from agricultural peers like ADM or Cargill [2]. The mission has been consistent through the 200-year history, though it reads more as a business description than an inspiring cause. Community Impact (1/2): Bunge employs 34,000 people globally and has received an MSCI AAA ESG rating and Refinitiv 73/100 [4]. The company publishes sustainability reports with non-deforestation commitments. However, these commitments remain heavily contested — Friends of the Earth and Global Witness have documented supply chain links to deforestation in Brazil's Cerrado, with approximately 95% of Bunge's deforestation risks concentrated there [4][5]. Employee Retention (1/2): CEO Greg Heckman's 7+ year tenure provides leadership stability, and the Viterra merger integration has been executed with operational competence. The March 2026 Investor Day messaging — 'stronger, more agile, better positioned' — suggests organizational confidence [2]. However, integrating 34,000 employees from two large companies creates cultural uncertainty, and no specific retention data is available. Insider Buying (0/2): Net insider selling over recent periods. While the 37.33% insider/strategic ownership is very high (largely from Viterra deal shares held by Glencore, CPP Investments, and other strategic investors), this reflects deal structure rather than open-market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D/E of 91% scores 0.91 at 1x weight — manageable leverage post-Viterra integration [6]. ROE of 5.96% scores 0.40 at 1x weight — depressed by integration costs and commodity margin pressure, well below the 15% target [6]. Revenue growth YoY of 75.5% scores 1.0 at 1x weight (FY2025 $70.3B vs FY2024 $40.0B, primarily Viterra-driven) [1]. Revenue 5yr CAGR of approximately 11.4% scores 1.0 at 1x weight. Forward P/E of 12.5 ($115.23 / $9.25 midpoint FY2026 adjusted EPS guidance) scores 1.0 at 1x weight — attractive valuation [1][6]. Profit margin of 1.16% scores 0.06 at 1x weight — extremely thin, typical for agricultural commodity processing [6]. Payout ratio of 73.8% scores 0.44 at 1x weight — elevated due to depressed GAAP earnings [6]. Consecutive years paid 25 (since 2001) scores 1.0 at 2x weight. Consecutive years growth 5 scores 0.5 at 1x weight. 5yr dividend growth CAGR of 8.1% scores 1.0 at 2x weight [6]. Weighted sum: 9.30 / 12 max = 7.75, rounded to 8. Liquidity floor cleared: 1.75M avg volume x $115.23 = $201.7M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Bunge under CEO Heckman's leadership plays a mixed game — the transformative Viterra merger positions the company for long-term scale advantages, and the 200-year history demonstrates institutional endurance. However, persistent deforestation controversies in the supply chain reveal a gap between stated purpose and actual practice, the relentless focus on commodity margins drives short-term thinking, and the Just Cause lacks the depth and distinctiveness that Sinek requires of infinite players. The company is well-run but purpose-light.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Bunge's purpose — connecting farmers to consumers to deliver essential food, feed, and fuel — is socially valuable but reads as a business description rather than a Just Cause in the Sinek sense [2]. There is no articulated vision of a future state that transcends current operations. The company's strategic decisions are primarily driven by scale economies and commodity margins. The deforestation controversies — with Friends of the Earth and Global Witness documenting supply chain links to Cerrado deforestation — suggest the cause does not consistently guide supply chain decisions when it conflicts with sourcing economics [4][5].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Heckman's 7+ year tenure and the successful operational execution of the Viterra merger demonstrate leadership stability and organizational capability [2]. The March 2026 Investor Day projection — 'stronger, more agile, better positioned than at any point in our 200-year history' — suggests confident leadership. However, integrating 34,000 employees across two merged organizations spanning 40+ countries creates significant cultural challenges, and no specific employee retention or satisfaction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Bunge explicitly operates alongside Cargill, ADM, and Louis Dreyfus (the ABCD trading houses), and management acknowledges these rivals' strengths in specific commodities and geographies [1][2]. The Viterra merger itself was a competitive response to scale advantages possessed by Cargill, demonstrating that Bunge uses competitive dynamics to improve its own positioning rather than simply pursuing market share conquest.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Viterra merger represents significant strategic evolution — transforming Bunge from a large agricultural trader into the world's largest oilseed processor with dramatically expanded grain merchandising capabilities and geographic reach [1][2]. The company has also expanded into renewable diesel feedstock and biofuel supply chains. However, these are additive moves within the same agricultural commodity ecosystem, not a transformative pivot into an entirely new business model. The core business of commodity origination and processing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Viterra merger was a bold, costly bet that required significant integration risk and balance sheet strain in pursuit of long-term scale advantages [1]. Heckman raised FY2026 guidance from $7.50-$8.00 to $9.00-$9.50, showing confidence in the integration. The $15+ mid-cycle EPS target by 2030 demonstrates long-term vision [2]. However, the company's persistent failure to fully commit to deforestation-free supply chains despite pressure from NGOs and major customers suggests courage is selective — the company backs down when sustainability commitments conflict with sourcing economics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Bunge Global offers a compelling value proposition as the world's largest oilseed processor trading at 12.5x forward earnings on raised FY2026 guidance of $9.00-$9.50 adjusted EPS (up from $7.50-$8.00), with a 2.60% dividend yield and 25 consecutive years of payments [1][6]. The transformative Viterra merger — completed July 2025 — created unmatched global scale, with Q1 2026 revenue of $21.86B nearly doubling year-over-year and grain merchandising volumes tripling from the integration [1]. The March 2026 Investor Day established a mid-cycle EPS baseline of approximately $13 with a target of $15+ by 2030, signaling substantial earnings upside as integration synergies materialize [2]. At $115.23 per share, the stock offers essential food security exposure at an attractive multiple with growing income support.</w:t>
      </w:r>
    </w:p>
    <w:p>
      <w:pPr>
        <w:spacing w:after="120"/>
      </w:pPr>
      <w:r>
        <w:rPr>
          <w:rFonts w:ascii="Calibri" w:hAnsi="Calibri"/>
          <w:b w:val="0"/>
          <w:color w:val="3A4A28"/>
          <w:sz w:val="20"/>
        </w:rPr>
        <w:t>The bear case centers on margin fragility, integration execution, and ESG controversy. Profit margin of 1.16% provides virtually no earnings cushion — a 50bps decline in agricultural processing margins could eliminate profitability on $70B+ revenue [6]. GAAP earnings remain depressed by integration charges (GAAP P/E of 27.9 vs adjusted forward P/E of 12.5), and ROE of 5.96% is well below the 15% target, reflecting the near-term costs of absorbing Viterra [6]. The dividend payout ratio jumped to 73.8% (from 56%) as GAAP earnings fell while the dividend held, creating sustainability concerns if earnings don't recover [6]. Deforestation controversies are structurally significant: Friends of the Earth and Global Witness have documented supply chain links to Cerrado deforestation with ~95% of deforestation risk concentrated there, and Bunge has resisted the Cerrado Manifesto's 2020 cutoff date despite pressure from Walmart, Tesco, and Unilever [4][5]. These ESG risks create regulatory, reputational, and customer-retention headwinds that could accelerate under tightening EU deforestation regulation.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Viterra synergy realization — integration of the world's largest oilseed processing and grain trading network driving raised FY2026 guidance to $9.00-$9.50 adjusted EPS, with mid-cycle baseline of $13 and $15+ target by 2030 [1][2]</w:t>
      </w:r>
    </w:p>
    <w:p>
      <w:pPr>
        <w:spacing w:before="40" w:after="40"/>
        <w:ind w:left="283"/>
      </w:pPr>
      <w:r>
        <w:rPr>
          <w:rFonts w:ascii="Calibri" w:hAnsi="Calibri"/>
          <w:b/>
          <w:color w:val="4A6B25"/>
          <w:sz w:val="20"/>
        </w:rPr>
        <w:t xml:space="preserve">2. </w:t>
      </w:r>
      <w:r>
        <w:rPr>
          <w:rFonts w:ascii="Calibri" w:hAnsi="Calibri"/>
          <w:b w:val="0"/>
          <w:color w:val="3A4A28"/>
          <w:sz w:val="20"/>
        </w:rPr>
        <w:t>Commodity margin normalization — soybean crush margins and grain trading spreads were depressed; recovery would disproportionately benefit Bunge's expanded processing capacity on a $80B+ revenue base [1]</w:t>
      </w:r>
    </w:p>
    <w:p>
      <w:pPr>
        <w:spacing w:before="40" w:after="40"/>
        <w:ind w:left="283"/>
      </w:pPr>
      <w:r>
        <w:rPr>
          <w:rFonts w:ascii="Calibri" w:hAnsi="Calibri"/>
          <w:b/>
          <w:color w:val="4A6B25"/>
          <w:sz w:val="20"/>
        </w:rPr>
        <w:t xml:space="preserve">3. </w:t>
      </w:r>
      <w:r>
        <w:rPr>
          <w:rFonts w:ascii="Calibri" w:hAnsi="Calibri"/>
          <w:b w:val="0"/>
          <w:color w:val="3A4A28"/>
          <w:sz w:val="20"/>
        </w:rPr>
        <w:t>Renewable fuel demand — growing renewable diesel mandates increase demand for soybean oil and vegetable oil feedstocks, structurally benefiting Bunge's unmatched crush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fragility — profit margin of 1.16% provides zero cushion; commodity margin compression on $70B+ revenue could rapidly erode earnings, and the elevated 73.8% payout ratio creates dividend sustainability risk if GAAP earnings don't recover [6]</w:t>
      </w:r>
    </w:p>
    <w:p>
      <w:pPr>
        <w:spacing w:before="40" w:after="40"/>
        <w:ind w:left="283"/>
      </w:pPr>
      <w:r>
        <w:rPr>
          <w:rFonts w:ascii="Calibri" w:hAnsi="Calibri"/>
          <w:b/>
          <w:color w:val="4A6B25"/>
          <w:sz w:val="20"/>
        </w:rPr>
        <w:t xml:space="preserve">2. </w:t>
      </w:r>
      <w:r>
        <w:rPr>
          <w:rFonts w:ascii="Calibri" w:hAnsi="Calibri"/>
          <w:b w:val="0"/>
          <w:color w:val="3A4A28"/>
          <w:sz w:val="20"/>
        </w:rPr>
        <w:t>Deforestation and ESG controversy — Friends of the Earth and Global Witness have documented Bunge's supply chain links to Cerrado deforestation; tightening EU deforestation regulation and customer pressure from Walmart, Tesco, and Unilever create escalating regulatory and reputational risk [4][5]</w:t>
      </w:r>
    </w:p>
    <w:p>
      <w:pPr>
        <w:spacing w:before="40" w:after="40"/>
        <w:ind w:left="283"/>
      </w:pPr>
      <w:r>
        <w:rPr>
          <w:rFonts w:ascii="Calibri" w:hAnsi="Calibri"/>
          <w:b/>
          <w:color w:val="4A6B25"/>
          <w:sz w:val="20"/>
        </w:rPr>
        <w:t xml:space="preserve">3. </w:t>
      </w:r>
      <w:r>
        <w:rPr>
          <w:rFonts w:ascii="Calibri" w:hAnsi="Calibri"/>
          <w:b w:val="0"/>
          <w:color w:val="3A4A28"/>
          <w:sz w:val="20"/>
        </w:rPr>
        <w:t>Integration execution risk — the Viterra merger is the largest in Bunge's history, and GAAP earnings remain depressed by integration costs (P/E 27.9); failure to achieve the $13+ mid-cycle EPS baseline would question the deal's value creation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Bunge's core business — originating, transporting, processing, and distributing physical agricultural commodities across 40+ countries — is structurally immune to AI disruption [1]. Soybean crushing, grain logistics, port operations, storage elevators, and crop origination from millions of farmers require massive physical infrastructure and deeply embedded supply chain relationships that AI cannot replicate or substitute. The Viterra merger further entrenched Bunge's physical-world moat with expanded processing plants and logistics assets globally [2]. AI may improve demand forecasting, logistics routing, and commodity risk management, but these are efficiency tools, not substitution risks. Analysts have not flagged AI as a disruption risk for agricultural commodity processors. AI data center expansion indirectly supports food demand as global economic activity grows. AI Opportunity (0/1): Bunge deploys data analytics across its supply chain for operational efficiency, but does not generate identifiable revenue from AI-related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Bunge Global Q1 2026 Earnings Release — $21.86B revenue (up 87.76%), adjusted EPS $1.83, raised FY2026 guidance to $9.00-$9.50, BusinessWire April 2026</w:t>
      </w:r>
    </w:p>
    <w:p>
      <w:pPr>
        <w:spacing w:before="20" w:after="20"/>
        <w:ind w:left="170"/>
      </w:pPr>
      <w:r>
        <w:rPr>
          <w:rFonts w:ascii="Calibri" w:hAnsi="Calibri"/>
          <w:b/>
          <w:color w:val="4A6B25"/>
          <w:sz w:val="15"/>
        </w:rPr>
        <w:t xml:space="preserve">2. </w:t>
      </w:r>
      <w:r>
        <w:rPr>
          <w:rFonts w:ascii="Calibri" w:hAnsi="Calibri"/>
          <w:b w:val="0"/>
          <w:color w:val="3A4A28"/>
          <w:sz w:val="17"/>
        </w:rPr>
        <w:t>Bunge Global March 2026 Investor Day — CEO Greg Heckman, mid-cycle EPS baseline ~$13, $15+ target by 2030, 'stronger, more agile, better positioned than at any point in our 200-year history,' World-Grain 2026</w:t>
      </w:r>
    </w:p>
    <w:p>
      <w:pPr>
        <w:spacing w:before="20" w:after="20"/>
        <w:ind w:left="170"/>
      </w:pPr>
      <w:r>
        <w:rPr>
          <w:rFonts w:ascii="Calibri" w:hAnsi="Calibri"/>
          <w:b/>
          <w:color w:val="4A6B25"/>
          <w:sz w:val="15"/>
        </w:rPr>
        <w:t xml:space="preserve">3. </w:t>
      </w:r>
      <w:r>
        <w:rPr>
          <w:rFonts w:ascii="Calibri" w:hAnsi="Calibri"/>
          <w:b w:val="0"/>
          <w:color w:val="3A4A28"/>
          <w:sz w:val="17"/>
        </w:rPr>
        <w:t>Bunge Global Ownership and Insider Activity — 37.33% insider/strategic ownership, net insider selling, WallStreetZen July 2026</w:t>
      </w:r>
    </w:p>
    <w:p>
      <w:pPr>
        <w:spacing w:before="20" w:after="20"/>
        <w:ind w:left="170"/>
      </w:pPr>
      <w:r>
        <w:rPr>
          <w:rFonts w:ascii="Calibri" w:hAnsi="Calibri"/>
          <w:b/>
          <w:color w:val="4A6B25"/>
          <w:sz w:val="15"/>
        </w:rPr>
        <w:t xml:space="preserve">4. </w:t>
      </w:r>
      <w:r>
        <w:rPr>
          <w:rFonts w:ascii="Calibri" w:hAnsi="Calibri"/>
          <w:b w:val="0"/>
          <w:color w:val="3A4A28"/>
          <w:sz w:val="17"/>
        </w:rPr>
        <w:t>Bunge Global ESG Ratings and Deforestation — MSCI AAA, Refinitiv 73/100, Friends of the Earth Cerrado report, KnowESG 2026</w:t>
      </w:r>
    </w:p>
    <w:p>
      <w:pPr>
        <w:spacing w:before="20" w:after="20"/>
        <w:ind w:left="170"/>
      </w:pPr>
      <w:r>
        <w:rPr>
          <w:rFonts w:ascii="Calibri" w:hAnsi="Calibri"/>
          <w:b/>
          <w:color w:val="4A6B25"/>
          <w:sz w:val="15"/>
        </w:rPr>
        <w:t xml:space="preserve">5. </w:t>
      </w:r>
      <w:r>
        <w:rPr>
          <w:rFonts w:ascii="Calibri" w:hAnsi="Calibri"/>
          <w:b w:val="0"/>
          <w:color w:val="3A4A28"/>
          <w:sz w:val="17"/>
        </w:rPr>
        <w:t>Global Witness — Bunge supply chain links to Cerrado deforestation, human rights concerns, 95% of deforestation risk in Cerrado</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MacroTrends — BG Key Statistics, Forward P/E 12.5, D/E 91%,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