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BHC</w:t>
      </w:r>
      <w:r>
        <w:rPr>
          <w:rFonts w:ascii="Calibri" w:hAnsi="Calibri"/>
          <w:b/>
          <w:color w:val="1A2010"/>
          <w:sz w:val="40"/>
        </w:rPr>
        <w:t xml:space="preserve">  Bausch Health Companies Inc.</w:t>
      </w:r>
    </w:p>
    <w:p>
      <w:pPr>
        <w:spacing w:after="120"/>
      </w:pPr>
      <w:r>
        <w:rPr>
          <w:rFonts w:ascii="Calibri" w:hAnsi="Calibri"/>
          <w:b/>
          <w:color w:val="6E8450"/>
          <w:sz w:val="18"/>
        </w:rPr>
        <w:t>GROWTH SLEEVE · 2026-07-13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Pharmaceuticals - Specialty · NYSE · Canada</w:t>
      </w:r>
    </w:p>
    <w:p>
      <w:pPr>
        <w:spacing w:after="80"/>
      </w:pPr>
      <w:r>
        <w:rPr>
          <w:rFonts w:ascii="Calibri" w:hAnsi="Calibri"/>
          <w:b w:val="0"/>
          <w:color w:val="3A4A28"/>
          <w:sz w:val="20"/>
        </w:rPr>
        <w:t>Bausch Health Companies Inc. (formerly Valeant Pharmaceuticals) is a multinational specialty pharmaceutical and medical device company. Operates through segments including Salix (gastrointestinal), Solta Medical (aesthetics), diversified products, and international operations. Holds approximately 88% ownership of Bausch + Lomb (NYSE: BLCO), a global eye health company. Headquartered in Laval, Quebec, Canada.</w:t>
      </w:r>
    </w:p>
    <w:p>
      <w:r>
        <w:rPr>
          <w:rFonts w:ascii="Calibri" w:hAnsi="Calibri"/>
          <w:b/>
          <w:color w:val="6E8450"/>
          <w:sz w:val="18"/>
        </w:rPr>
        <w:t>32,000 Employees · https://www.bauschhealth.com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Bausch Health has delivered 12 consecutive quarters of revenue and adjusted EBITDA growth under CEO Thomas Appio, driven by Salix and Solta Medical performance, but no transformative product launches or business model pivots in the last five years [1][2]. AI Deployment (1/2): Bausch + Lomb launched the AI Academy providing foundational generative AI courses to approximately 8,000 knowledge workers, with teams automating reports and accelerating research, though no customer-facing AI products or quantified revenue impact have been disclosed [3]. Market Share (1/2): Salix holds a meaningful position in the GI specialty market with Xifaxan as a key franchise, and Solta Medical has gained traction in medical aesthetics, but BHC does not dominate any major therapeutic category [1]. Product Pipeline (1/2): General R&amp;D activity continues across GI, dermatology, and neurology, but no specific next-generation products with named launch dates or revenue visibility were identified in recent disclosures [1]. R&amp;D Intensity (0/1): R&amp;D spending is estimated at approximately 5-6% of revenue, well below the pharmaceutical industry average of 15-20%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Bausch Health's stated commitment centers on 'advancing global health and patient care' and 'operating with integrity,' which reads as generic boilerplate interchangeable with any specialty pharma peer and carries the weight of the Valeant scandal legacy [4]. Community Impact (0/2): No distinctive charitable programs, foundation initiatives, or community investment beyond standard corporate philanthropy were identified in public disclosures [4]. Employee Retention (0/2): No specific employee retention, tenure, or turnover data was found; the company underwent significant leadership and cultural upheaval during the Valeant-to-Bausch transition that likely impacted organizational stability [4]. Insider Buying (1/2): Company insiders have collectively bought $4.8 million more than they sold via options and on-market transactions over the last 12 months, though recent 90-day data shows net selling of $115K by executives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significant gaps due to negative equity. The dominant feature is $21.08 billion in total debt against negative shareholders' equity of -$1.1 billion, a legacy of Valeant's debt-fueled acquisition strategy [5]. GAAP profitability remains negative due to a $1.4 billion impairment charge recorded in Q1 2026, though adjusted EBITDA for BHC ex-B+L was guided at $2.875-2.950 billion for FY2026 [1][2]. Revenue growth is modest at approximately 5% YoY (consolidated guidance of $10.67-10.92B vs $10.27B in FY2025), and the 5-year revenue CAGR is approximately flat due to divestitures and restructuring [2]. The extremely low forward P/E of 1.33 reflects the beaten-down equity market cap ($1.79B) relative to the company's substantial adjusted cash generation, but this metric is misleading given the massive debt overhang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Bausch Health is a company in recovery mode from the Valeant Pharmaceuticals scandal, not one playing an infinite game. The Valeant era (2010-2016) was the canonical example of finite-game thinking: debt-fueled acquisitions, aggressive drug pricing, and financial engineering to maximize short-term shareholder returns. Under CEO Thomas Appio, BHC has stabilized operations and delivered 12 consecutive quarters of growth, but the $21 billion debt legacy and ongoing B+L separation complexity leave leadership focused on survival and financial restructuring rather than advancing a durable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Bausch Health articulates a commitment to 'advancing global health and patient care,' but this generic purpose statement carries no distinctive weight given the Valeant history of price-gouging patients and prioritizing financial engineering over mission [4]. The company exists today primarily to service its debt obligations and maximize the value of its B+L stake. Strategic decisions are driven by financial imperatives, not a vision of a better healthcare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Under CEO Appio (appointed 2022), the leadership team has stabilized after years of post-Valeant turnover including three CEO transitions (Pearson to Papa to Appio) [1]. The current executive team has delivered consistent operational results for 12 quarters, suggesting adequate organizational stability. However, the Valeant legacy of aggressive cost-cutting and workforce reduction likely left cultural scars, and no specific evidence of employee empowerment or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Bausch Health's competitive language focuses on turnaround execution metrics -- consecutive quarters of growth, debt reduction targets -- rather than learning from competitors' strengths. The company operates in fragmented specialty pharma markets without a clear worthy rival relationship.</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Bausch Health has been rigid in its approach, clinging to the legacy Valeant asset portfolio while attempting incremental improvements. The name change from Valeant to Bausch Health in 2018 and the planned B+L spinoff represent reactive adjustments to reputational damage and debt pressure, not transformative strategic pivots driven by purpose. The company has not abandoned any legacy business or entered fundamentally new markets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Appio and predecessor Papa made difficult decisions to stabilize the company -- settling class action lawsuits, restructuring debt maturities, and investing in the Salix and Solta franchises during a period of extreme financial distress [1][2]. However, these decisions were survival-driven rather than visionary. No examples of leadership choosing long-term capability investment over short-term earnings optimization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Bausch Health delivered Q1 2026 revenue growth of 14% (9% organic) with adjusted EBITDA up 17% for BHC ex-B+L, marking 12 consecutive quarters of operational improvement under CEO Thomas Appio [1]. The company reaffirmed FY2026 guidance of $5.25-5.40 billion revenue and $2.875-2.950 billion adjusted EBITDA for BHC ex-B+L, with tariff impact explicitly absorbed into guidance [2]. At a market cap of just $1.79 billion against adjusted operating cash flow guidance of $1.2-1.275 billion, the equity trades at approximately 1.4x cash flow, representing extreme optionality if the debt can be managed. The Salix GI franchise and Solta Medical aesthetics business are generating real growth in defensible specialty markets.</w:t>
      </w:r>
    </w:p>
    <w:p>
      <w:pPr>
        <w:spacing w:after="120"/>
      </w:pPr>
      <w:r>
        <w:rPr>
          <w:rFonts w:ascii="Calibri" w:hAnsi="Calibri"/>
          <w:b w:val="0"/>
          <w:color w:val="3A4A28"/>
          <w:sz w:val="20"/>
        </w:rPr>
        <w:t>The elephant in the room is $21.08 billion in total debt against negative shareholders' equity of -$1.1 billion, a Valeant-era legacy that creates existential financial risk [5]. Any deterioration in operating performance, rise in interest rates, or inability to refinance maturities could trigger a restructuring. The planned separation of Bausch + Lomb remains uncertain -- BHC owns approximately 88% of BLCO but the separation has been delayed multiple times, and the B+L stake is the primary source of value backing BHC's debt [2]. GAAP losses persist (a $1.4 billion impairment was recorded in Q1 2026), making reported earnings meaningless and valuation analysis dependent on adjusted metrics that exclude significant real costs. The Valeant reputational legacy continues to suppress the multiple even as operations improve.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Bausch + Lomb separation or stake monetization that enables meaningful debt reduction from the current $21 billion burden, potentially unlocking trapped equity value</w:t>
      </w:r>
    </w:p>
    <w:p>
      <w:pPr>
        <w:spacing w:before="40" w:after="40"/>
        <w:ind w:left="283"/>
      </w:pPr>
      <w:r>
        <w:rPr>
          <w:rFonts w:ascii="Calibri" w:hAnsi="Calibri"/>
          <w:b/>
          <w:color w:val="4A6B25"/>
          <w:sz w:val="20"/>
        </w:rPr>
        <w:t xml:space="preserve">2. </w:t>
      </w:r>
      <w:r>
        <w:rPr>
          <w:rFonts w:ascii="Calibri" w:hAnsi="Calibri"/>
          <w:b w:val="0"/>
          <w:color w:val="3A4A28"/>
          <w:sz w:val="20"/>
        </w:rPr>
        <w:t>Continued Salix franchise growth and Xifaxan lifecycle management, with Q1 2026 showing 14% revenue growth driven by Salix and Solta outperformance</w:t>
      </w:r>
    </w:p>
    <w:p>
      <w:pPr>
        <w:spacing w:before="40" w:after="40"/>
        <w:ind w:left="283"/>
      </w:pPr>
      <w:r>
        <w:rPr>
          <w:rFonts w:ascii="Calibri" w:hAnsi="Calibri"/>
          <w:b/>
          <w:color w:val="4A6B25"/>
          <w:sz w:val="20"/>
        </w:rPr>
        <w:t xml:space="preserve">3. </w:t>
      </w:r>
      <w:r>
        <w:rPr>
          <w:rFonts w:ascii="Calibri" w:hAnsi="Calibri"/>
          <w:b w:val="0"/>
          <w:color w:val="3A4A28"/>
          <w:sz w:val="20"/>
        </w:rPr>
        <w:t>Adjusted operating cash flow guidance of $1.2-1.275 billion providing runway for debt paydown and potential multiple re-rating as leverage declines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$21 billion debt load against negative equity creates existential refinancing risk -- any credit market disruption or operational underperformance could trigger restructuring or forced asset sales</w:t>
      </w:r>
    </w:p>
    <w:p>
      <w:pPr>
        <w:spacing w:before="40" w:after="40"/>
        <w:ind w:left="283"/>
      </w:pPr>
      <w:r>
        <w:rPr>
          <w:rFonts w:ascii="Calibri" w:hAnsi="Calibri"/>
          <w:b/>
          <w:color w:val="4A6B25"/>
          <w:sz w:val="20"/>
        </w:rPr>
        <w:t xml:space="preserve">2. </w:t>
      </w:r>
      <w:r>
        <w:rPr>
          <w:rFonts w:ascii="Calibri" w:hAnsi="Calibri"/>
          <w:b w:val="0"/>
          <w:color w:val="3A4A28"/>
          <w:sz w:val="20"/>
        </w:rPr>
        <w:t>Repeated delays in the Bausch + Lomb separation have eroded management credibility and leave the company's primary value driver (88% BLCO stake) locked within the capital structure</w:t>
      </w:r>
    </w:p>
    <w:p>
      <w:pPr>
        <w:spacing w:before="40" w:after="40"/>
        <w:ind w:left="283"/>
      </w:pPr>
      <w:r>
        <w:rPr>
          <w:rFonts w:ascii="Calibri" w:hAnsi="Calibri"/>
          <w:b/>
          <w:color w:val="4A6B25"/>
          <w:sz w:val="20"/>
        </w:rPr>
        <w:t xml:space="preserve">3. </w:t>
      </w:r>
      <w:r>
        <w:rPr>
          <w:rFonts w:ascii="Calibri" w:hAnsi="Calibri"/>
          <w:b w:val="0"/>
          <w:color w:val="3A4A28"/>
          <w:sz w:val="20"/>
        </w:rPr>
        <w:t>Xifaxan patent expiration risk and generic competition in the GI franchise could undermine the core earnings engine that supports debt serviceability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manufacturing, drug development, and clinical distribution involve heavily regulated physical-world processes that AI cannot substitute. Bausch Health's core Salix GI franchise, Solta Medical devices, and B+L eye health products require FDA-approved manufacturing, clinical trial validation, and physical distribution infrastructure that create structural barriers to AI disruption [1]. Some back-office functions (regulatory filing, medical writing) face AI-enabled efficiency pressure, but the core revenue streams remain protected. AI Opportunity (0/1): While B+L launched an internal AI Academy for 8,000 knowledge workers to automate reports and accelerate research, no customer-facing AI products or quantified AI-driven revenue have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Bausch Health Q1 2026 Earnings Release -- Bausch Health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Bausch Health FY2026 Guidance Reaffirmation -- Seeking Alpha, June 2026</w:t>
      </w:r>
    </w:p>
    <w:p>
      <w:pPr>
        <w:spacing w:before="20" w:after="20"/>
        <w:ind w:left="170"/>
      </w:pPr>
      <w:r>
        <w:rPr>
          <w:rFonts w:ascii="Calibri" w:hAnsi="Calibri"/>
          <w:b/>
          <w:color w:val="4A6B25"/>
          <w:sz w:val="15"/>
        </w:rPr>
        <w:t xml:space="preserve">3. </w:t>
      </w:r>
      <w:r>
        <w:rPr>
          <w:rFonts w:ascii="Calibri" w:hAnsi="Calibri"/>
          <w:b w:val="0"/>
          <w:color w:val="3A4A28"/>
          <w:sz w:val="17"/>
        </w:rPr>
        <w:t>Bausch + Lomb AI Academy and Mandatory AI Training -- Fortune, February 2026</w:t>
      </w:r>
    </w:p>
    <w:p>
      <w:pPr>
        <w:spacing w:before="20" w:after="20"/>
        <w:ind w:left="170"/>
      </w:pPr>
      <w:r>
        <w:rPr>
          <w:rFonts w:ascii="Calibri" w:hAnsi="Calibri"/>
          <w:b/>
          <w:color w:val="4A6B25"/>
          <w:sz w:val="15"/>
        </w:rPr>
        <w:t xml:space="preserve">4. </w:t>
      </w:r>
      <w:r>
        <w:rPr>
          <w:rFonts w:ascii="Calibri" w:hAnsi="Calibri"/>
          <w:b w:val="0"/>
          <w:color w:val="3A4A28"/>
          <w:sz w:val="17"/>
        </w:rPr>
        <w:t>Bausch Health ESG Report and Corporate Governance -- bauschhealth.com,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BHC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