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BHVN</w:t>
      </w:r>
      <w:r>
        <w:rPr>
          <w:rFonts w:ascii="Calibri" w:hAnsi="Calibri"/>
          <w:b/>
          <w:color w:val="1A2010"/>
          <w:sz w:val="40"/>
        </w:rPr>
        <w:t xml:space="preserve">  Biohaven Ltd.</w:t>
      </w:r>
    </w:p>
    <w:p>
      <w:pPr>
        <w:spacing w:after="120"/>
      </w:pPr>
      <w:r>
        <w:rPr>
          <w:rFonts w:ascii="Calibri" w:hAnsi="Calibri"/>
          <w:b/>
          <w:color w:val="6E8450"/>
          <w:sz w:val="18"/>
        </w:rPr>
        <w:t>GROWTH SLEEVE · 2026-07-10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Biohaven Ltd. is a clinical-stage biopharmaceutical company focused on discovering, developing, and commercializing therapies for neurological, immunological, and other diseases. Key pipeline assets include taldefgrobep alfa (myostatin inhibitor for obesity), opakalim (Kv7 activator for epilepsy), BHV-1400 (Gd-IgA1 TRAP degrader for IgA nephropathy), and BHV-1300 (IgG MoDE degrader for Graves' disease). Spun off from the original Biohaven Pharmaceutical after Pfizer acquired the migraine franchise for $11.6 billion in 2022. Led by Chairman and CEO Vlad Coric, M.D.</w:t>
      </w:r>
    </w:p>
    <w:p>
      <w:r>
        <w:rPr>
          <w:rFonts w:ascii="Calibri" w:hAnsi="Calibri"/>
          <w:b/>
          <w:color w:val="6E8450"/>
          <w:sz w:val="18"/>
        </w:rPr>
        <w:t>400 Employees · https://www.biohaven.com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original Biohaven achieved a transformative success with Nurtec ODT (rimegepant) for migraine, leading to Pfizer's $11.6B acquisition in 2022, but that product belongs to Pfizer now; the new BHVN entity has not yet launched any products independently, and the troriluzole Complete Response Letter from FDA in November 2025 for spinocerebellar ataxia represents a significant setback [4]. AI Deployment (0/2): No evidence of AI-powered products deployed to customers or quantified AI-driven operational improvements was found in company disclosures or press releases. Market Share (0/2): Biohaven is pre-commercial with no approved products generating meaningful revenue; the company has zero market share in its target indications. Product Pipeline (2/2): Multiple late-stage programs with specific timelines — taldefgrobep Phase 2 in obesity with topline data expected H2 2026, opakalim pivotal trial in epilepsy with results expected H2 2026, BHV-1400 pivotal initiation in IgA nephropathy by mid-2026, and BHV-1300 pivotal initiation in Graves' disease [2]. This is a rich catalyst calendar with clear milestones. R&amp;D Intensity (1/1): Essentially all company spending is directed toward R&amp;D and clinical development, reflecting maximum commitment to innovation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Biohaven's mission — discovering and delivering life-changing therapies for people with debilitating diseases — is clear and health-focused, identifying a genuine purpose beyond profit in serving patients with unmet medical needs [3]. However, the mission is not yet validated by execution (no approved products under the current entity) and is broadly interchangeable with dozens of clinical-stage biotechs. Community Impact (0/2): No evidence of significant charitable programs, foundations, or community investment initiatives was found despite Biohaven's stated ESG commitment through its cross-functional Sustainability Working Group. Employee Retention (0/2): No specific employee tenure data, voluntary turnover rates, or retention metrics were found in public sources; the company recently restructured scientific leadership with Chief Scientific Officer Bruce Car retiring and David Pirman promoted to head discovery [3]. Insider Buying (0/2): No evidence of meaningful net insider buying by CEO Vlad Coric or other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on limited available metrics reflecting Biohaven's pre-commercial clinical-stage status. The company is essentially pre-revenue with Q4 2025 reporting $0 in revenue and Q1 2026 estimated at approximately $8.3M — insufficient to calculate meaningful revenue growth metrics [5]. Operating cash flow of -$594M over the trailing 12 months reflects heavy clinical trial spending across multiple programs. Cash position of $347.8M with $286.2M in debt provides a net cash position of $61.6M, but the $594M annual cash burn rate raises questions about funding sufficiency beyond 12-18 months without additional capital raises [5]. Estimated debt-to-equity of approximately 114% reflects accumulated deficit partially offset by equity raises. ROE of -333% reflects massive losses against a small equity base. Infrastructure scored on D/E (114%, score 0.81), ROE (deeply negative, score 0), and profit margin (deeply negative, score 0) as the only calculable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Biohaven in its current form is only 3-4 years old (post-Pfizer spin-off in 2022) and has not had its purpose tested through sustained adversity or leadership transitions. CEO Vlad Coric has demonstrated competence in rebuilding a pipeline from scratch, but the company's short history, troriluzole setback, and ongoing leadership restructuring suggest an organization still finding its identity rather than one built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Biohaven articulates a cause around life-changing therapies for debilitating diseases, but the current entity has existed for only 3-4 years since the Pfizer spin-off and has yet to deliver an approved product to validate this purpose [3]. The troriluzole FDA rejection in November 2025 tested the organization's commitment and the response — pivoting toward obesity and epilepsy — was pragmatic but suggests the cause is fungible rather than enduring [4]. The original Biohaven's Just Cause was monetized through the Pfizer sale.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Recent scientific leadership transitions — David Pirman promoted to EVP and Head of Discovery, Bruce Car retiring as CSO and transitioning to Chief Innovation Officer — suggest an organization investing in next-generation scientific leadership [3]. The creation of a Chief Innovation Officer role and the deliberate nature of the transitions indicate planned succession rather than crisis management. However, no specific evidence of exceptional trust culture, employee empowerment, or above-average retention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Biohaven's competitive positioning in obesity (against Lilly, Novo Nordisk) and epilepsy does not reference learning from rivals or acknowledging competitors' strengths as motivation for self-improvement [2]. The company's communications are focused on differentiated mechanisms of action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current Biohaven entity was created by Pfizer's acquisition of the migraine franchise — the spin-off was driven by Pfizer's offer rather than a strategic choice to reinvent the company [4]. Since then, the troriluzole FDA rejection forced a pivot toward obesity and epilepsy, but this adaptation was reactive to regulatory failure rather than a proactive, cause-driven transformation. The company is too young and untested to have demonstrated the willingness to abandon a profitable business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Coric demonstrated courage in rebuilding a pipeline from scratch after the Pfizer spin-off, investing heavily in multiple simultaneous programs despite having no revenue base, and persisting through the troriluzole FDA rejection by pivoting resources to obesity (taldefgrobep) and epilepsy (opakalim) programs with H2 2026 data readouts [2][4]. However, this courage was born of necessity (the company had no choice but to rebuild) rather than a deliberate sacrifice of short-term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Biohaven offers a high-risk, high-reward pipeline play with multiple H2 2026 clinical catalysts that could significantly re-rate the stock from its current $16.90 level. Taldefgrobep Phase 2 obesity data (myostatin-activin pathway inhibitor targeting high-quality weight loss with lean muscle preservation) and opakalim pivotal epilepsy data represent binary events with significant upside if positive, and the BHV-1400 (IgA nephropathy) and BHV-1300 (Graves' disease) pivotal initiations add depth [2]. The analyst consensus price target of $21.76 implies 29% upside, and the $347.8M cash position with net cash of $61.6M provides near-term funding. The stock's beta of 3.31 amplifies upside potential in a positive data scenario.</w:t>
      </w:r>
    </w:p>
    <w:p>
      <w:pPr>
        <w:spacing w:after="120"/>
      </w:pPr>
      <w:r>
        <w:rPr>
          <w:rFonts w:ascii="Calibri" w:hAnsi="Calibri"/>
          <w:b w:val="0"/>
          <w:color w:val="3A4A28"/>
          <w:sz w:val="20"/>
        </w:rPr>
        <w:t>The fundamental challenge is that Biohaven is a pre-revenue, deeply loss-making clinical-stage biotech burning $594M annually in operating cash flow with only $347.8M in cash — funding sufficiency beyond 12-18 months is uncertain without additional dilutive capital raises [5]. The troriluzole FDA Complete Response Letter in November 2025 represents a material clinical setback that eliminated the company's most advanced program, and the pivot to obesity places Biohaven in direct competition with Lilly's tirzepatide and Novo Nordisk's semaglutide — entrenched incumbents with massive commercial infrastructure [4]. Infrastructure scores reflect the reality of a pre-commercial company: ROE of -333%, no profit margin, and EPS of -$5.57. The binary nature of the H2 2026 catalysts means negative data from taldefgrobep or opakalim could result in severe stock price declines given the 3.31 beta and limited revenue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Taldefgrobep Phase 2 obesity topline data in H2 2026 evaluating high-quality weight loss (fat mass reduction plus lean muscle preservation) via once-weekly or once-monthly autoinjector delivery</w:t>
      </w:r>
    </w:p>
    <w:p>
      <w:pPr>
        <w:spacing w:before="40" w:after="40"/>
        <w:ind w:left="283"/>
      </w:pPr>
      <w:r>
        <w:rPr>
          <w:rFonts w:ascii="Calibri" w:hAnsi="Calibri"/>
          <w:b/>
          <w:color w:val="4A6B25"/>
          <w:sz w:val="20"/>
        </w:rPr>
        <w:t xml:space="preserve">2. </w:t>
      </w:r>
      <w:r>
        <w:rPr>
          <w:rFonts w:ascii="Calibri" w:hAnsi="Calibri"/>
          <w:b w:val="0"/>
          <w:color w:val="3A4A28"/>
          <w:sz w:val="20"/>
        </w:rPr>
        <w:t>Opakalim pivotal epilepsy trial topline results in H2 2026 as a selective Kv7 ion channel activator with a differentiated mechanism from existing anti-seizure medications</w:t>
      </w:r>
    </w:p>
    <w:p>
      <w:pPr>
        <w:spacing w:before="40" w:after="40"/>
        <w:ind w:left="283"/>
      </w:pPr>
      <w:r>
        <w:rPr>
          <w:rFonts w:ascii="Calibri" w:hAnsi="Calibri"/>
          <w:b/>
          <w:color w:val="4A6B25"/>
          <w:sz w:val="20"/>
        </w:rPr>
        <w:t xml:space="preserve">3. </w:t>
      </w:r>
      <w:r>
        <w:rPr>
          <w:rFonts w:ascii="Calibri" w:hAnsi="Calibri"/>
          <w:b w:val="0"/>
          <w:color w:val="3A4A28"/>
          <w:sz w:val="20"/>
        </w:rPr>
        <w:t>BHV-1400 and BHV-1300 pivotal trial initiations by mid-2026 in IgA nephropathy and Graves' disease respectively, expanding the clinical pipeline beyond neuroscience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$594M annually against $347.8M in cash creates funding risk beyond 12-18 months, likely requiring dilutive equity raises that would compress per-share value</w:t>
      </w:r>
    </w:p>
    <w:p>
      <w:pPr>
        <w:spacing w:before="40" w:after="40"/>
        <w:ind w:left="283"/>
      </w:pPr>
      <w:r>
        <w:rPr>
          <w:rFonts w:ascii="Calibri" w:hAnsi="Calibri"/>
          <w:b/>
          <w:color w:val="4A6B25"/>
          <w:sz w:val="20"/>
        </w:rPr>
        <w:t xml:space="preserve">2. </w:t>
      </w:r>
      <w:r>
        <w:rPr>
          <w:rFonts w:ascii="Calibri" w:hAnsi="Calibri"/>
          <w:b w:val="0"/>
          <w:color w:val="3A4A28"/>
          <w:sz w:val="20"/>
        </w:rPr>
        <w:t>Troriluzole FDA Complete Response Letter in November 2025 eliminated the most advanced pipeline program, and the obesity pivot places Biohaven against Lilly and Novo Nordisk incumbents with vastly superior commercial and financial resources</w:t>
      </w:r>
    </w:p>
    <w:p>
      <w:pPr>
        <w:spacing w:before="40" w:after="40"/>
        <w:ind w:left="283"/>
      </w:pPr>
      <w:r>
        <w:rPr>
          <w:rFonts w:ascii="Calibri" w:hAnsi="Calibri"/>
          <w:b/>
          <w:color w:val="4A6B25"/>
          <w:sz w:val="20"/>
        </w:rPr>
        <w:t xml:space="preserve">3. </w:t>
      </w:r>
      <w:r>
        <w:rPr>
          <w:rFonts w:ascii="Calibri" w:hAnsi="Calibri"/>
          <w:b w:val="0"/>
          <w:color w:val="3A4A28"/>
          <w:sz w:val="20"/>
        </w:rPr>
        <w:t>Binary clinical risk across all H2 2026 catalysts — negative data from taldefgrobep or opakalim would eliminate key value drivers with no commercial revenue to cushion the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Biohaven's core business of developing physical small-molecule and biologic therapeutics for neurological and immunological diseases is structurally protected from AI displacement — patients with epilepsy, obesity, IgA nephropathy, and Graves' disease require physical drug interventions that AI cannot substitute [2]. The drug development process involves extensive FDA-regulated clinical trials, complex chemistry manufacturing, and physician prescribing relationships that create natural barriers to AI disruption. However, AI could accelerate competitor drug discovery timelines, potentially shortening Biohaven's competitive advantages in pipeline assets, and AI-driven clinical trial optimization by larger competitors could disadvantage smaller companies. AI Opportunity (0/1): No AI-related products generate revenue and no specific AI-driven operational efficiencies have been quantified in Biohaven's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Biohaven Q4 2025 and Full Year Earnings Release — cash position, operating expenses, financial performance, February 2026</w:t>
      </w:r>
    </w:p>
    <w:p>
      <w:pPr>
        <w:spacing w:before="20" w:after="20"/>
        <w:ind w:left="170"/>
      </w:pPr>
      <w:r>
        <w:rPr>
          <w:rFonts w:ascii="Calibri" w:hAnsi="Calibri"/>
          <w:b/>
          <w:color w:val="4A6B25"/>
          <w:sz w:val="15"/>
        </w:rPr>
        <w:t xml:space="preserve">2. </w:t>
      </w:r>
      <w:r>
        <w:rPr>
          <w:rFonts w:ascii="Calibri" w:hAnsi="Calibri"/>
          <w:b w:val="0"/>
          <w:color w:val="3A4A28"/>
          <w:sz w:val="17"/>
        </w:rPr>
        <w:t>Biohaven Pipeline Update and 2026 Clinical Catalysts — taldefgrobep obesity Phase 2, opakalim epilepsy pivotal, BHV-1400, BHV-1300, corporate presentations 2026</w:t>
      </w:r>
    </w:p>
    <w:p>
      <w:pPr>
        <w:spacing w:before="20" w:after="20"/>
        <w:ind w:left="170"/>
      </w:pPr>
      <w:r>
        <w:rPr>
          <w:rFonts w:ascii="Calibri" w:hAnsi="Calibri"/>
          <w:b/>
          <w:color w:val="4A6B25"/>
          <w:sz w:val="15"/>
        </w:rPr>
        <w:t xml:space="preserve">3. </w:t>
      </w:r>
      <w:r>
        <w:rPr>
          <w:rFonts w:ascii="Calibri" w:hAnsi="Calibri"/>
          <w:b w:val="0"/>
          <w:color w:val="3A4A28"/>
          <w:sz w:val="17"/>
        </w:rPr>
        <w:t>Biohaven Scientific Leadership Transitions — David Pirman EVP promotion, Bruce Car CSO retirement to Chief Innovation Officer, June 2026</w:t>
      </w:r>
    </w:p>
    <w:p>
      <w:pPr>
        <w:spacing w:before="20" w:after="20"/>
        <w:ind w:left="170"/>
      </w:pPr>
      <w:r>
        <w:rPr>
          <w:rFonts w:ascii="Calibri" w:hAnsi="Calibri"/>
          <w:b/>
          <w:color w:val="4A6B25"/>
          <w:sz w:val="15"/>
        </w:rPr>
        <w:t xml:space="preserve">4. </w:t>
      </w:r>
      <w:r>
        <w:rPr>
          <w:rFonts w:ascii="Calibri" w:hAnsi="Calibri"/>
          <w:b w:val="0"/>
          <w:color w:val="3A4A28"/>
          <w:sz w:val="17"/>
        </w:rPr>
        <w:t>Biohaven Troriluzole FDA Complete Response Letter — spinocerebellar ataxia CRL, November 2025; Seeking Alpha downgrade analysis</w:t>
      </w:r>
    </w:p>
    <w:p>
      <w:pPr>
        <w:spacing w:before="20" w:after="20"/>
        <w:ind w:left="170"/>
      </w:pPr>
      <w:r>
        <w:rPr>
          <w:rFonts w:ascii="Calibri" w:hAnsi="Calibri"/>
          <w:b/>
          <w:color w:val="4A6B25"/>
          <w:sz w:val="15"/>
        </w:rPr>
        <w:t xml:space="preserve">5. </w:t>
      </w:r>
      <w:r>
        <w:rPr>
          <w:rFonts w:ascii="Calibri" w:hAnsi="Calibri"/>
          <w:b w:val="0"/>
          <w:color w:val="3A4A28"/>
          <w:sz w:val="17"/>
        </w:rPr>
        <w:t>Yahoo Finance — BHVN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