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BIRK</w:t>
      </w:r>
      <w:r>
        <w:rPr>
          <w:rFonts w:ascii="Calibri" w:hAnsi="Calibri"/>
          <w:b/>
          <w:color w:val="1A2010"/>
          <w:sz w:val="40"/>
        </w:rPr>
        <w:t xml:space="preserve">  Birkenstock Holding plc</w:t>
      </w:r>
    </w:p>
    <w:p>
      <w:pPr>
        <w:spacing w:after="120"/>
      </w:pPr>
      <w:r>
        <w:rPr>
          <w:rFonts w:ascii="Calibri" w:hAnsi="Calibri"/>
          <w:b/>
          <w:color w:val="6E8450"/>
          <w:sz w:val="18"/>
        </w:rPr>
        <w:t>GROWTH SLEEVE · 2026-07-11 · Inspire: 44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Kingdom</w:t>
      </w:r>
    </w:p>
    <w:p>
      <w:pPr>
        <w:spacing w:after="80"/>
      </w:pPr>
      <w:r>
        <w:rPr>
          <w:rFonts w:ascii="Calibri" w:hAnsi="Calibri"/>
          <w:b w:val="0"/>
          <w:color w:val="3A4A28"/>
          <w:sz w:val="20"/>
        </w:rPr>
        <w:t>Birkenstock Holding plc designs, manufactures, and sells footbed-based footwear products including sandals, closed-toe shoes, and skincare products across the Americas, EMEA, and Asia Pacific. Founded in 1774, the company owns its entire production in Germany and has a 250-year heritage of cork-latex footbed technology.</w:t>
      </w:r>
    </w:p>
    <w:p>
      <w:r>
        <w:rPr>
          <w:rFonts w:ascii="Calibri" w:hAnsi="Calibri"/>
          <w:b/>
          <w:color w:val="6E8450"/>
          <w:sz w:val="18"/>
        </w:rPr>
        <w:t>6,800 Employees · https://www.birkenstock-holding.com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Birkenstock has expanded from core sandals into closed-toe shoes, professional clogs, and skincare, driving consistent double-digit growth, but no transformative business model pivot — the company remains a premium footbed-focused manufacturer [1]. AI Deployment (0/2): No meaningful AI product deployment identified. Market Share (2/2): Birkenstock holds a category-defining position in premium footbed sandals with a 250-year heritage brand — effectively a monopoly in its niche with no direct competitor able to replicate the cork-latex footbed technology and brand equity. Product Pipeline (1/2): Expanding into closed-toe shoes, professional footwear, and APAC markets with 22% growth in Asia Pacific. R&amp;D Intensity (1/1): Significant investment in production capacity expansion and footbed technology relative to footwear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Birkenstock's purpose — 'to help people feel better with every step' — connects the brand's 250-year heritage of ergonomic footbed design to a genuine commitment to foot health and wellness, validated by centuries of consistent execution. The mission shapes product design and manufacturing decisions. Community Impact (1/2): Commitment to German manufacturing and sustainable materials sourcing demonstrates genuine stakeholder consideration. Employee Retention (1/2): 6,800 employees with strong production culture centered in Germany. CEO Oliver Reichert has led the company's transformation from family-owned to public. Insider Buying (1/2): L Catterton (LVMH-affiliated) maintains significant ownership stake, signaling long-term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Q2 FY2026 revenue of €618M (up 14% constant currency) with double-digit growth across all regions [1]. D/E of 47.7% is within the 70% target (1.0). ROE of 12.5% approaches but falls short of the 15% target (0.83, 2x weight). Forward PE of 16.45 is below the 20 target (1.0). Profit margin of 16.3% approaches the 20% target (0.82). Revenue growth of 7.7% (14% constant currency) is near target (0.92). PEG of 1.26 above the 1.0 target (0.87, 2x weight). Full-year guidance of 13-15% constant currency revenue growth confirmed despite tariff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Birkenstock is a textbook infinite game player — the company has maintained its core purpose of ergonomic footbed design for 250 years through wars, industrial revolutions, and fashion cycles. The commitment to German manufacturing despite lower-cost alternatives, the refusal to discount or pursue fast fashion, and the patient capacity expansion all reflect deeply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Birkenstock's purpose of improving foot health through ergonomic design has been validated by 250 years of consistent execution — the longest heritage of any publicly traded footwear company. The purpose survived multiple leadership transitions, world wars, and fashion cycles. Every product decision traces back to the footbed. This is Sinek's gold standard of a Just Cause driving competitive advantage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6,800 employees concentrated in German manufacturing facilities with strong production culture and craftsmanship tradition. The commitment to keeping production in Germany despite cost pressures signals respect for workforce expertise.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Birkenstock's dominant position in premium footbed footwear means it faces limited direct rivalry. The company positions itself as unique rather than competitive, which is authentic but doesn't reflect the worthy rival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Birkenstock has expanded from sandals into closed-toe shoes, professional footwear, and skincare — meaningful category extensions. The IPO transition from family/private equity ownership to public markets also represents a structural evolution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Birkenstock has consistently refused to chase fashion trends, discount products, or move production to lower-cost countries — maintaining German manufacturing and premium pricing through periods when these decisions were costly. The company invested in production capacity expansion when demand could have justified licensing. These choices reflect principled leadership over quarterly optimization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Birkenstock delivered Q2 FY2026 revenue of €618M (up 14% constant currency) with double-digit growth across all regions, confirming full-year guidance of 13-15% constant currency growth despite tariff and geopolitical headwinds [1]. The 250-year-old brand holds a monopoly position in premium footbed footwear with unmatched heritage and proprietary technology. Net profit margin expanded to 16.3%, and the company's German manufacturing commitment and refusal to discount create a durable competitive moat. At 16.45x forward PE, valuation is reasonable for a growing luxury/premium consumer brand.</w:t>
      </w:r>
    </w:p>
    <w:p>
      <w:pPr>
        <w:spacing w:after="120"/>
      </w:pPr>
      <w:r>
        <w:rPr>
          <w:rFonts w:ascii="Calibri" w:hAnsi="Calibri"/>
          <w:b w:val="0"/>
          <w:color w:val="3A4A28"/>
          <w:sz w:val="20"/>
        </w:rPr>
        <w:t>The primary risk is the gap between reported (7.7%) and constant currency (14%) revenue growth, exposing significant FX headwinds that may persist. EPS declined 22.1% in the most recent period despite revenue growth, suggesting margin pressure from tariffs, production capacity expansion costs, or FX translation. The PEG of 1.26 is reasonable but not cheap, and the company's concentration in a single product category (footbed footwear) limits diversification. As a relatively new public company (IPO October 2023), the stock lacks a long public track record, and L Catterton's eventual exit could create share price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APAC revenue growing 22% represents a significant untapped growth vector — Asia Pacific is underpenetrated relative to Americas and EMEA market potential</w:t>
      </w:r>
    </w:p>
    <w:p>
      <w:pPr>
        <w:spacing w:before="40" w:after="40"/>
        <w:ind w:left="283"/>
      </w:pPr>
      <w:r>
        <w:rPr>
          <w:rFonts w:ascii="Calibri" w:hAnsi="Calibri"/>
          <w:b/>
          <w:color w:val="4A6B25"/>
          <w:sz w:val="20"/>
        </w:rPr>
        <w:t xml:space="preserve">2. </w:t>
      </w:r>
      <w:r>
        <w:rPr>
          <w:rFonts w:ascii="Calibri" w:hAnsi="Calibri"/>
          <w:b w:val="0"/>
          <w:color w:val="3A4A28"/>
          <w:sz w:val="20"/>
        </w:rPr>
        <w:t>Production capacity expansion enabling supply to match growing demand, with new manufacturing facilities increasing output for closed-toe and professional categories</w:t>
      </w:r>
    </w:p>
    <w:p>
      <w:pPr>
        <w:spacing w:before="40" w:after="40"/>
        <w:ind w:left="283"/>
      </w:pPr>
      <w:r>
        <w:rPr>
          <w:rFonts w:ascii="Calibri" w:hAnsi="Calibri"/>
          <w:b/>
          <w:color w:val="4A6B25"/>
          <w:sz w:val="20"/>
        </w:rPr>
        <w:t xml:space="preserve">3. </w:t>
      </w:r>
      <w:r>
        <w:rPr>
          <w:rFonts w:ascii="Calibri" w:hAnsi="Calibri"/>
          <w:b w:val="0"/>
          <w:color w:val="3A4A28"/>
          <w:sz w:val="20"/>
        </w:rPr>
        <w:t>Full-year constant currency guidance of 13-15% revenue growth confirmed despite tariff headwinds, demonstrating brand pricing power and demand resilience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FX headwinds creating a significant gap between constant currency (14%) and reported (7.7%) revenue growth, with EPS declining 22% despite topline growth</w:t>
      </w:r>
    </w:p>
    <w:p>
      <w:pPr>
        <w:spacing w:before="40" w:after="40"/>
        <w:ind w:left="283"/>
      </w:pPr>
      <w:r>
        <w:rPr>
          <w:rFonts w:ascii="Calibri" w:hAnsi="Calibri"/>
          <w:b/>
          <w:color w:val="4A6B25"/>
          <w:sz w:val="20"/>
        </w:rPr>
        <w:t xml:space="preserve">2. </w:t>
      </w:r>
      <w:r>
        <w:rPr>
          <w:rFonts w:ascii="Calibri" w:hAnsi="Calibri"/>
          <w:b w:val="0"/>
          <w:color w:val="3A4A28"/>
          <w:sz w:val="20"/>
        </w:rPr>
        <w:t>Single category concentration — Birkenstock's business is overwhelmingly dependent on footbed footwear, limiting diversification if the category matures</w:t>
      </w:r>
    </w:p>
    <w:p>
      <w:pPr>
        <w:spacing w:before="40" w:after="40"/>
        <w:ind w:left="283"/>
      </w:pPr>
      <w:r>
        <w:rPr>
          <w:rFonts w:ascii="Calibri" w:hAnsi="Calibri"/>
          <w:b/>
          <w:color w:val="4A6B25"/>
          <w:sz w:val="20"/>
        </w:rPr>
        <w:t xml:space="preserve">3. </w:t>
      </w:r>
      <w:r>
        <w:rPr>
          <w:rFonts w:ascii="Calibri" w:hAnsi="Calibri"/>
          <w:b w:val="0"/>
          <w:color w:val="3A4A28"/>
          <w:sz w:val="20"/>
        </w:rPr>
        <w:t>L Catterton (LVMH-affiliated) exit overhang — as a major post-IPO shareholder, eventual share sales could create price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Birkenstock's business is structurally immune to AI disruption — physical footwear manufacturing, proprietary cork-latex footbed technology, 250-year brand heritage, and German production facilities cannot be replicated or substituted by AI [1]. The tactile, comfort-focused nature of footwear requires physical-world execution. Brand trust built over centuries creates a moat that AI cannot erode. AI Opportunity (0/1): No meaningful AI-specific revenue or AI-powered products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Birkenstock Q2 FY2026 Earnings Release — WWD, AccessNewsWire, June 2026</w:t>
      </w:r>
    </w:p>
    <w:p>
      <w:pPr>
        <w:spacing w:before="20" w:after="20"/>
        <w:ind w:left="170"/>
      </w:pPr>
      <w:r>
        <w:rPr>
          <w:rFonts w:ascii="Calibri" w:hAnsi="Calibri"/>
          <w:b/>
          <w:color w:val="4A6B25"/>
          <w:sz w:val="15"/>
        </w:rPr>
        <w:t xml:space="preserve">2. </w:t>
      </w:r>
      <w:r>
        <w:rPr>
          <w:rFonts w:ascii="Calibri" w:hAnsi="Calibri"/>
          <w:b w:val="0"/>
          <w:color w:val="3A4A28"/>
          <w:sz w:val="17"/>
        </w:rPr>
        <w:t>Birkenstock FY2026 Guidance and Earnings Coverage — StockTitan, Simply Wall 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BIRK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