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BLDR</w:t>
      </w:r>
      <w:r>
        <w:rPr>
          <w:rFonts w:ascii="Calibri" w:hAnsi="Calibri"/>
          <w:b/>
          <w:color w:val="1A2010"/>
          <w:sz w:val="40"/>
        </w:rPr>
        <w:t xml:space="preserve">  Builders FirstSource, Inc.</w:t>
      </w:r>
    </w:p>
    <w:p>
      <w:pPr>
        <w:spacing w:after="120"/>
      </w:pPr>
      <w:r>
        <w:rPr>
          <w:rFonts w:ascii="Calibri" w:hAnsi="Calibri"/>
          <w:b/>
          <w:color w:val="6E8450"/>
          <w:sz w:val="18"/>
        </w:rPr>
        <w:t>GROWTH SLEEVE · 2026-07-14 · Inspire: 44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Building Products &amp; Equipment · NYSE · United States</w:t>
      </w:r>
    </w:p>
    <w:p>
      <w:pPr>
        <w:spacing w:after="80"/>
      </w:pPr>
      <w:r>
        <w:rPr>
          <w:rFonts w:ascii="Calibri" w:hAnsi="Calibri"/>
          <w:b w:val="0"/>
          <w:color w:val="3A4A28"/>
          <w:sz w:val="20"/>
        </w:rPr>
        <w:t>Builders FirstSource, Inc. is the largest supplier of building products, prefabricated components, and value-added services to the professional market for new residential construction and repair and remodeling in the United States. The company operates approximately 570+ locations across 44 states, manufacturing and distributing lumber, trusses, wall panels, windows, doors, and millwork. Formed through the transformative 2021 merger with BMC Stock Holdings, the company serves single-family and multi-family homebuilders with an integrated manufacturing and distribution platform.</w:t>
      </w:r>
    </w:p>
    <w:p>
      <w:r>
        <w:rPr>
          <w:rFonts w:ascii="Calibri" w:hAnsi="Calibri"/>
          <w:b/>
          <w:color w:val="6E8450"/>
          <w:sz w:val="18"/>
        </w:rPr>
        <w:t>29,000 Employees · https://www.bldr.com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Builders FirstSource executed the transformative $8.2B merger with BMC Stock Holdings in January 2021, creating the nation's largest building products supplier with 570+ locations across 44 states [1]. This merger fundamentally redefined the company's competitive position and scale. The company has also completed 40+ acquisitions over the past decade, systematically building a national platform. However, revenue has declined from a peak of $22.7B in 2022 to $14.8B TTM as housing starts weakened, and no new product category has been created [1][2]. AI Deployment (1/2): BLDR partnered with Blitzy to deploy an AI development platform, achieving a 3-5x increase in software development speed with 120 engineers trained on AI-based workflows [3]. The company uses AI for predictive analytics in inventory management, smart pricing models, construction site monitoring, and customer service chatbots. These are genuine operational AI deployments but have not been quantified as revenue drivers. Market Share (2/2): Category leader — Builders FirstSource is the largest US supplier of structural building products by revenue, with dominant positions in manufactured components (trusses, wall panels), windows, doors, and millwork [1]. The scale advantage from the BMC merger and acquisition strategy creates distribution density that smaller competitors cannot replicate. Product Pipeline (1/2): The Digital Solutions initiative brings innovation to homebuilding through AI and 3D visualization tools, and CEO Peter Jackson emphasizes being on the "front lines of solving the AI puzzle for the building products industry" [3]. However, specific next-gen products with launch dates and revenue visibility are not publicly detailed. R&amp;D Intensity (0/1): As a building materials manufacturer and distributor, BLDR's R&amp;D spending as a percentage of revenue is minimal compared to technology peers. Innovation comes through process improvement and acquisitions rather than traditional R&amp;D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Builders FirstSource articulates a purpose to "build a better future for those we serve" with core values summarized as S.P.I.C.E. — Safety, People First, Uncompromising Integrity, Customer Committed, and Everyday Excellence [4]. The purpose is genuine and connects the company's work to the tangible outcome of building homes, but it is not deeply distinctive or transformative — many building products companies could claim a similar purpose. Community Impact (2/2): Significant, sustained charitable investment — since 2006, BLDR has raised more than $11 million for The Leukemia and Lymphoma Society through annual charity events [5]. The company committed more than $2 million in additional charitable contributions to organizations including BFS Cares (an employee emergency assistance fund for natural disasters), the Tunnel to Towers Foundation supporting first responders and veterans, and the American Red Cross [5]. These are specific, meaningful programs aligned with community service. Employee Retention (1/2): Glassdoor rating of 3.6/5 with 61% of employees recommending the company. Recognized by Comparably in 2026 for Best Career Growth, Best Leadership, and Best Sales and Product Design departments [4]. Mixed reviews — some employees praise the supportive, team-oriented culture while others cite micromanagement and top-heavy decision-making. Average retention for the industry. Insider Buying (1/2): Net insider buying in recent periods — 305,180 shares purchased versus 76,080 sold in the last 100 insider trades [6]. The Board also authorized $500 million in share repurchases in April 2026, signaling confidence in the long-term story despite the current housing downturn [1]. However, individual insider buying is modest relative to the company's market cap.</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BLDR delivered TTM revenue of $14.82B (down 8.3% YoY) as the US housing market weakened, with Q1 2026 net sales declining 10.1% to $3.3B and swinging to a net loss of $(47.4)M [1][2]. Despite the cyclical downturn, the company's 5-year revenue CAGR of approximately 12% reflects the transformational growth from the BMC merger. Forward P/E of approximately 15x is attractive relative to peers and implies analyst expectations of earnings recovery as housing starts normalize. Debt-to-equity of approximately 110% reflects the leveraged acquisition strategy but remains manageable with the company's cash generation profile — operating cash flow was strong enough to fund $390.9M in share repurchases in Q2 2025 alone [1]. ROE of 10.06% is below the 15% target but positive. Net profit margin of 2.86% is compressed by the current housing downturn but historically runs in the 7-10% range during normal cycles. The forward PEG ratio of 1.93 reflects moderate growth expectations. Liquidity floor check: avg daily volume (1,939,463) x stock price ($80) = $155M &gt;&gt; $1M threshold.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Builders FirstSource demonstrates meaningful infinite game characteristics under relatively new CEO Peter Jackson. The company's purpose to "build a better future" has guided consistent capital allocation toward scale-building acquisitions, value-added manufacturing, and digital innovation. The $500M share repurchase authorization during a housing downturn reflects confidence in long-term positioning over short-term earnings optimization. However, the company's relatively short history as a combined entity (post-BMC merger in 2021) means the Just Cause has not been tested through multiple leadership transitions or crises, limiting its infinite game credentials.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Builders FirstSource's purpose to "build a better future for those we serve" with SPICE values connects the company's work to the tangible outcome of helping America build homes [4]. The purpose has guided strategic decisions — the BMC merger to create national scale, investment in value-added manufacturing to improve homebuilding efficiency, and commitment to digital innovation. Capital allocation has been consistent with this purpose rather than purely financial engineering. However, the company's existence as a combined entity dates only to 2021, and the purpose has not yet been tested through the kind of multi-decade, multi-crisis validation that earns a perfect score. CEO Peter Jackson's tenure of 1.5 years adds leadership transition risk to the Just Cause's durability.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Adequate trust indicators — Glassdoor 3.6/5, Comparably recognition for Best Career Growth and Best Leadership in 2026, and the BFS Cares employee emergency assistance fund demonstrate institutional care for team members [4][5]. With 29,000 employees across 570+ locations, the company maintains reasonable organizational stability. However, mixed employee reviews citing micromanagement and top-down decision-making at some locations suggest trust varies significantly across the organization. The recent CEO transition (Peter Jackson taking over in November 2024) has been orderly, which is a positive signal. Average for a company of this size in the building materials industry.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CEO Peter Jackson's competitive language focuses on self-improvement rather than competitor destruction. His emphasis on being on the "front lines of solving the AI puzzle for the building products industry" frames competition as an industry-wide challenge to solve, not a war to win [3]. The company's acquisition strategy has been about building capabilities (manufacturing, digital tools, geographic coverage) rather than eliminating rivals. The competitive framing is about becoming the best partner for homebuilders, not about defeating specific competitors like ABC Supply or US LBM.</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2021 BMC merger was transformative — combining two of the largest building products distributors to create a national platform with over 570 locations [1]. This was not an incremental move but a fundamental redefinition of the company's scale and competitive position. The ongoing digital transformation and AI adoption also demonstrate willingness to evolve the business model. However, these changes are still within the building products domain — the company has not demonstrated the kind of cross-industry existential pivot (like Apple going from computers to phones) that earns the maximum score. The flexibility shown is more "build bigger and better in the same game" than "blow up the game entirely."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$500M share repurchase authorization in April 2026 — during a period when revenue declined 10% and the company posted a Q1 net loss — demonstrates willingness to invest in the long term despite short-term pain [1]. The company's continued investment in digital solutions and AI capabilities during the housing downturn reflects long-term conviction. CEO Peter Jackson's approach of maintaining investment in manufacturing capacity and technology while peers retrench shows some courage. However, Jackson's tenure is only 1.5 years, and the true test of courage will come if the housing downturn deepens further — will the company continue investing or begin cutting capabilities to protect near-term margins?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Builders FirstSource is the nation's largest building products supplier with $14.8B in TTM revenue, 570+ locations, and dominant market share in manufactured components, windows, doors, and millwork [1]. Despite a challenging housing environment — Q1 2026 revenue declined 10.1% with a net loss of $(47.4)M — the stock trades at a forward P/E of approximately 15x, reflecting expectations of earnings recovery as mortgage rates normalize and housing starts rebound from cyclical lows. The company's competitive advantages are structural: national scale enables procurement leverage, value-added manufacturing (trusses, wall panels) creates switching costs with builders, and the 40+ acquisitions since 2015 have built distribution density that smaller competitors cannot replicate. The $500M share repurchase program authorized in April 2026 reduces the float and signals management confidence [1]. CEO Peter Jackson brings nearly 30 years of leadership experience including 7 years at BLDR, and the company's early AI adoption (Blitzy partnership, digital solutions) positions it as a technology leader in the traditionally low-tech building products industry [3].</w:t>
      </w:r>
    </w:p>
    <w:p>
      <w:pPr>
        <w:spacing w:after="120"/>
      </w:pPr>
      <w:r>
        <w:rPr>
          <w:rFonts w:ascii="Calibri" w:hAnsi="Calibri"/>
          <w:b w:val="0"/>
          <w:color w:val="3A4A28"/>
          <w:sz w:val="20"/>
        </w:rPr>
        <w:t>The bear case centers on the severity and duration of the housing downturn. Revenue has declined for three consecutive years from $22.7B (2022) to $14.8B TTM — a 35% peak-to-trough contraction — and the Q1 2026 net loss suggests further deterioration may be ahead [1][2]. With debt-to-equity at 110% and the company funding $500M in buybacks during an earnings downturn, balance sheet leverage is a concern if housing starts remain depressed for an extended period. Net profit margin has compressed to 2.86% from historical levels of 7-10%, and ROE of 10% is below the cost of equity. Analysts project a further 44.5% EPS decline for Q2 2026 [2]. Environmental ESG concerns persist — the company has been criticized for inadequate supply chain risk management around deforestation, given that lumber represented 35.6% of net sales, and was slow to calculate its Scope 1 and 2 emissions [7]. If mortgage rates remain elevated and single-family housing starts stay below the 1.0M annualized rate, the current downturn could test the company's leveraged balance sheet and $500M buyback commitment.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Mortgage rate decline toward 5.5-6.0% range triggering a recovery in single-family housing starts from cyclical lows, driving volume recovery across BLDR's 570+ location network with significant operating leverage on the fixed cost base</w:t>
      </w:r>
    </w:p>
    <w:p>
      <w:pPr>
        <w:spacing w:before="40" w:after="40"/>
        <w:ind w:left="283"/>
      </w:pPr>
      <w:r>
        <w:rPr>
          <w:rFonts w:ascii="Calibri" w:hAnsi="Calibri"/>
          <w:b/>
          <w:color w:val="4A6B25"/>
          <w:sz w:val="20"/>
        </w:rPr>
        <w:t xml:space="preserve">2. </w:t>
      </w:r>
      <w:r>
        <w:rPr>
          <w:rFonts w:ascii="Calibri" w:hAnsi="Calibri"/>
          <w:b w:val="0"/>
          <w:color w:val="3A4A28"/>
          <w:sz w:val="20"/>
        </w:rPr>
        <w:t>Continued market share gains through the acquisition pipeline and value-added manufacturing expansion (trusses, wall panels), which carries higher margins and creates stronger builder switching costs than commodity lumber distribution</w:t>
      </w:r>
    </w:p>
    <w:p>
      <w:pPr>
        <w:spacing w:before="40" w:after="40"/>
        <w:ind w:left="283"/>
      </w:pPr>
      <w:r>
        <w:rPr>
          <w:rFonts w:ascii="Calibri" w:hAnsi="Calibri"/>
          <w:b/>
          <w:color w:val="4A6B25"/>
          <w:sz w:val="20"/>
        </w:rPr>
        <w:t xml:space="preserve">3. </w:t>
      </w:r>
      <w:r>
        <w:rPr>
          <w:rFonts w:ascii="Calibri" w:hAnsi="Calibri"/>
          <w:b w:val="0"/>
          <w:color w:val="3A4A28"/>
          <w:sz w:val="20"/>
        </w:rPr>
        <w:t>Digital Solutions and AI deployment generating measurable operational efficiencies — the Blitzy partnership's 3-5x development speed improvement across 120 engineers positions BLDR as the technology leader in building products distribution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Housing starts remain depressed below 1.0M annualized single-family units as mortgage rates stay elevated above 6.5%, extending the revenue contraction from the $22.7B peak and potentially forcing the company to cut costs including the $500M buyback program</w:t>
      </w:r>
    </w:p>
    <w:p>
      <w:pPr>
        <w:spacing w:before="40" w:after="40"/>
        <w:ind w:left="283"/>
      </w:pPr>
      <w:r>
        <w:rPr>
          <w:rFonts w:ascii="Calibri" w:hAnsi="Calibri"/>
          <w:b/>
          <w:color w:val="4A6B25"/>
          <w:sz w:val="20"/>
        </w:rPr>
        <w:t xml:space="preserve">2. </w:t>
      </w:r>
      <w:r>
        <w:rPr>
          <w:rFonts w:ascii="Calibri" w:hAnsi="Calibri"/>
          <w:b w:val="0"/>
          <w:color w:val="3A4A28"/>
          <w:sz w:val="20"/>
        </w:rPr>
        <w:t>Debt-to-equity of 110% and continued share repurchases during an earnings downturn create balance sheet risk if the housing cycle does not recover by 2027 — the company posted a $(47.4)M net loss in Q1 2026 while simultaneously authorizing $500M in additional buybacks</w:t>
      </w:r>
    </w:p>
    <w:p>
      <w:pPr>
        <w:spacing w:before="40" w:after="40"/>
        <w:ind w:left="283"/>
      </w:pPr>
      <w:r>
        <w:rPr>
          <w:rFonts w:ascii="Calibri" w:hAnsi="Calibri"/>
          <w:b/>
          <w:color w:val="4A6B25"/>
          <w:sz w:val="20"/>
        </w:rPr>
        <w:t xml:space="preserve">3. </w:t>
      </w:r>
      <w:r>
        <w:rPr>
          <w:rFonts w:ascii="Calibri" w:hAnsi="Calibri"/>
          <w:b w:val="0"/>
          <w:color w:val="3A4A28"/>
          <w:sz w:val="20"/>
        </w:rPr>
        <w:t>Commodity lumber price volatility creates margin risk independent of housing volume — lumber deflation contributed to the Q1 2026 revenue decline, and the company's 35.6% revenue exposure to lumber products amplifies the impact of commodity cycles on reported results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Builders FirstSource's core business is fundamentally physical — manufacturing trusses, cutting lumber, assembling wall panels, and distributing building materials via truck to construction sites across 570+ locations [1]. AI structurally cannot replace the physical act of manufacturing prefabricated building components, operating lumber yards, or delivering materials to job sites. The business requires massive physical infrastructure (manufacturing plants, distribution centers, delivery fleets) and on-site relationships with homebuilders that AI cannot replicate. Furthermore, AI may actually increase demand for BLDR's products by making homebuilding design and estimation more efficient, potentially accelerating project timelines and housing starts. The slight deduction from a perfect score reflects that some of BLDR's value-added services (design tools, estimation software, 3D visualization) could face competitive pressure from AI-native design platforms over the long term, though the physical distribution moat protects the core revenue base. AI Opportunity (0/1): BLDR deploys AI internally for operational efficiency — the Blitzy partnership accelerated software development 3-5x, and AI is used for inventory management and pricing optimization [3]. However, these are cost-saving applications, not revenue-generating AI products. No quantifiable AI revenue to cite.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Builders FirstSource Q1 2026 Earnings Release and Q4/FY2025 Results — investors.bldr.com, April-May 2026</w:t>
      </w:r>
    </w:p>
    <w:p>
      <w:pPr>
        <w:spacing w:before="20" w:after="20"/>
        <w:ind w:left="170"/>
      </w:pPr>
      <w:r>
        <w:rPr>
          <w:rFonts w:ascii="Calibri" w:hAnsi="Calibri"/>
          <w:b/>
          <w:color w:val="4A6B25"/>
          <w:sz w:val="15"/>
        </w:rPr>
        <w:t xml:space="preserve">2. </w:t>
      </w:r>
      <w:r>
        <w:rPr>
          <w:rFonts w:ascii="Calibri" w:hAnsi="Calibri"/>
          <w:b w:val="0"/>
          <w:color w:val="3A4A28"/>
          <w:sz w:val="17"/>
        </w:rPr>
        <w:t>Builders FirstSource Revenue History and Financial Data — MacroTrends, StockAnalysis,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Builders FirstSource AI and Digital Innovation — Blitzy Partnership Press Release (PRNewswire), HBS Dealer, Distribution Strategy Group, March 2026</w:t>
      </w:r>
    </w:p>
    <w:p>
      <w:pPr>
        <w:spacing w:before="20" w:after="20"/>
        <w:ind w:left="170"/>
      </w:pPr>
      <w:r>
        <w:rPr>
          <w:rFonts w:ascii="Calibri" w:hAnsi="Calibri"/>
          <w:b/>
          <w:color w:val="4A6B25"/>
          <w:sz w:val="15"/>
        </w:rPr>
        <w:t xml:space="preserve">4. </w:t>
      </w:r>
      <w:r>
        <w:rPr>
          <w:rFonts w:ascii="Calibri" w:hAnsi="Calibri"/>
          <w:b w:val="0"/>
          <w:color w:val="3A4A28"/>
          <w:sz w:val="17"/>
        </w:rPr>
        <w:t>Builders FirstSource Corporate Website — Who We Are, Mission and Values, Leadership,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Builders FirstSource Charitable Contributions and Community Programs — GlobeNewsWire, BFS Cares, accessed July 2026</w:t>
      </w:r>
    </w:p>
    <w:p>
      <w:pPr>
        <w:spacing w:before="20" w:after="20"/>
        <w:ind w:left="170"/>
      </w:pPr>
      <w:r>
        <w:rPr>
          <w:rFonts w:ascii="Calibri" w:hAnsi="Calibri"/>
          <w:b/>
          <w:color w:val="4A6B25"/>
          <w:sz w:val="15"/>
        </w:rPr>
        <w:t xml:space="preserve">6. </w:t>
      </w:r>
      <w:r>
        <w:rPr>
          <w:rFonts w:ascii="Calibri" w:hAnsi="Calibri"/>
          <w:b w:val="0"/>
          <w:color w:val="3A4A28"/>
          <w:sz w:val="17"/>
        </w:rPr>
        <w:t>BLDR Insider Trading Activity — MarketBeat, StockInvest, accessed July 2026</w:t>
      </w:r>
    </w:p>
    <w:p>
      <w:pPr>
        <w:spacing w:before="20" w:after="20"/>
        <w:ind w:left="170"/>
      </w:pPr>
      <w:r>
        <w:rPr>
          <w:rFonts w:ascii="Calibri" w:hAnsi="Calibri"/>
          <w:b/>
          <w:color w:val="4A6B25"/>
          <w:sz w:val="15"/>
        </w:rPr>
        <w:t xml:space="preserve">7. </w:t>
      </w:r>
      <w:r>
        <w:rPr>
          <w:rFonts w:ascii="Calibri" w:hAnsi="Calibri"/>
          <w:b w:val="0"/>
          <w:color w:val="3A4A28"/>
          <w:sz w:val="17"/>
        </w:rPr>
        <w:t>Builders FirstSource ESG and Deforestation Concerns — SEC PX14A6G Filings, ESG Today CSR Report, 2022-2025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