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BLMN</w:t>
      </w:r>
      <w:r>
        <w:rPr>
          <w:rFonts w:ascii="Calibri" w:hAnsi="Calibri"/>
          <w:b/>
          <w:color w:val="1A2010"/>
          <w:sz w:val="40"/>
        </w:rPr>
        <w:t xml:space="preserve">  Bloomin' Brands, Inc.</w:t>
      </w:r>
    </w:p>
    <w:p>
      <w:pPr>
        <w:spacing w:after="120"/>
      </w:pPr>
      <w:r>
        <w:rPr>
          <w:rFonts w:ascii="Calibri" w:hAnsi="Calibri"/>
          <w:b/>
          <w:color w:val="6E8450"/>
          <w:sz w:val="18"/>
        </w:rPr>
        <w:t>GROWTH SLEEVE · 2026-07-08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Bloomin' Brands is a casual dining restaurant company operating approximately 1,200 restaurants across four concepts: Outback Steakhouse (flagship), Carrabba's Italian Grill, Bonefish Grill, and Fleming's Prime Steakhouse &amp; Wine Bar. Under new CEO Mike Spanos (appointed September 2024), the company is executing a multi-pronged turnaround strategy focused on simplifying the business, improving guest satisfaction, and reducing debt. The company suspended its dividend in 2025 and is navigating secular headwinds in the casual dining segment. Headquartered in Tampa, Florida.</w:t>
      </w:r>
    </w:p>
    <w:p>
      <w:r>
        <w:rPr>
          <w:rFonts w:ascii="Calibri" w:hAnsi="Calibri"/>
          <w:b/>
          <w:color w:val="6E8450"/>
          <w:sz w:val="18"/>
        </w:rPr>
        <w:t>64,000 Employees · https://www.bloominbrands.com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Bloomin' Brands has not launched any significant new products, entered new markets, or executed business model transformations in the last 5 years [1][2]. The turnaround under new CEO Mike Spanos is operational in nature (cost reduction, menu simplification, guest satisfaction improvements) rather than innovative. Revenue has essentially flatlined between $3.96B and $4.17B since 2019, with no new concepts or revenue streams developed. AI Deployment (1/2): The company has partnered with DecisionNext for AI-powered commodity sourcing and purchasing optimization, and is exploring AI for demand forecasting and operational efficiency [3]. These are early-stage deployments without quantified financial impact, but represent genuine operational AI adoption. Market Share (0/2): Bloomin' Brands is a commodity participant in the declining casual dining segment, competing against fast-casual chains (Chipotle, CAVA) and quick-service restaurants that are gaining share. Outback Steakhouse has not gained meaningful market share in recent years, and the casual dining category faces structural headwinds from consumer preference shifts [2]. Product Pipeline (0/2): No next-generation restaurant concepts, significant menu innovations, or new revenue streams have been announced. The turnaround strategy focuses on execution of existing concepts rather than new product development [1]. R&amp;D Intensity (0/1): Restaurants do not invest in traditional R&amp;D, and Bloomin' Brands has not disclosed meaningful technology or innovation spending beyond standard operational technology upgrades.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Bloomin' Brands' mission centers on 'passionately serving guests with memorable dining experiences,' which is a generic restaurant industry purpose interchangeable with any casual dining competitor. It does not articulate a deeper purpose or vision beyond operational excellence in food service. Community Impact (0/2): Poor ESG performance ratings in the Food and Agriculture Benchmark, with 'very little relevant disclosure' found in governance, environment, and social inclusion measurement areas [4]. No evidence of significant charitable or community investment programs beyond standard corporate philanthropy. Lack of transparency on climate disclosure despite a shareholder proposal passing with 76% support in 2021. Employee Retention (0/2): Glassdoor rating of 3.6/5 with only 46% of employees having a positive business outlook. Reviews cite a culture where 'upper leadership does not consistently uphold the core values they expect employees to follow' and describe leadership as 'not caring about employees anymore, with stock price and Private Equity being the only focus' [5]. High turnover is endemic to the restaurant industry. Insider Buying (1/2): Despite the stock trading near multi-year lows at $7.98, multiple insiders including directors have been buying shares, demonstrating some conviction in the turnaround [5]. This is a modest positive signal, though the dollar amounts are not substantial relative to the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Bloomin' Brands delivered Q1 2026 revenue of $1.06B (up 1% YoY) with adjusted EPS of $0.67 (up 13.6%), beating expectations and signaling early turnaround traction [1]. However, the full-year 2026 guidance of $0.75-$0.90 adjusted EPS and 0.5%-2.5% US comparable restaurant sales growth reflects modest expectations. D/E of 497% is extremely elevated and scores zero, reflecting $1.6B+ in debt on a thin equity base. ROE of 6.82% and profit margin of 0.55% are anemic. The forward P/E of 9.62 is the key strength, reflecting very low market expectations that create upside optionality if the turnaround succeeds [5]. The 5-year revenue CAGR of 4.5% (2020-2025) is inflated by COVID-19 recovery from the depressed 2020 base; normalized revenue has essentially declined from $4.14B (2019) to $3.96B (2025). The stock passes the liquidity floor with $19.2M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Bloomin' Brands under its third CEO in three years is a textbook finite game player. The company has no articulated Just Cause beyond serving food, no evidence of courageous long-term bets, a low-trust culture driven by private equity influence, and no strategic flexibility or adaptation to the secular shift away from casual dining. The organization is optimizing to survive this quarter, not building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Bloomin' Brands exists to operate casual dining restaurants and generate returns for shareholders. There is no articulated vision of a better future, no purpose beyond the transactional delivery of food. The mission of 'passionately serving guests with memorable dining experiences' is a marketing tagline, not a Just Cause. Leadership does not reference a deeper purpose in strategic decisions. Sinek would identify this as a company playing to win (or survive) rather than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where 'upper leadership does not consistently uphold the core values they expect employees to follow' and the culture is described as 'removed' with leadership 'not caring about employees anymore, with stock price and Private Equity being the only focus' [5]. CEO turnover (three CEOs in three years) creates organizational instability. Only 46% of employees have a positive business outlook. The disconnect between stated values and leadership behavior is precisely the kind of trust deficit Sinek warns destroys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Bloomin' Brands acknowledges competitors' strengths as motivation for self-improvement. The company's competitive positioning is defensive (protecting market share against fast-casual and QSR chains) rather than using rivals' innovations as inspiration for its own improvement [2]. The turnaround strategy is internally focused on operational execution rather than learning from competitors' successful models.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Bloomin' Brands operates fundamentally the same business model it has operated for decades: casual dining steakhouse and Italian restaurants. The company has not made any transformative pivots in response to the secular shift from casual dining toward fast-casual and delivery-first concepts [2]. While the turnaround strategy addresses operational efficiency, it does not reimagine the business model. The company clings to its legacy concepts rather than adapting to structural industry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Mike Spanos made the difficult but necessary decision to suspend the dividend in 2025 to focus on debt reduction and operational improvement, demonstrating willingness to sacrifice near-term shareholder returns for long-term viability [1]. The turnaround strategy of simplifying the business and refocusing on guest experience represents a directional bet. However, these are survival moves rather than courageous investments in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Bloomin' Brands showed early turnaround signs in Q1 2026 with revenue of $1.06B (up 1% YoY), adjusted EPS of $0.67 (up 13.6%), and improved guest satisfaction scores under new CEO Mike Spanos [1]. The full-year 2026 guidance of $0.75-$0.90 adjusted EPS implies a forward P/E of only 9.6x at the $7.98 stock price, creating significant upside optionality if the turnaround gains traction. Analysts project statutory EPS to bounce 234% to $0.85 in 2026. The $683M market cap on $3.96B TTM revenue represents an enterprise value less than 0.2x sales, providing deep value characteristics if the company can stabilize margins and reduce its $1.6B+ debt burden [5].</w:t>
      </w:r>
    </w:p>
    <w:p>
      <w:pPr>
        <w:spacing w:after="120"/>
      </w:pPr>
      <w:r>
        <w:rPr>
          <w:rFonts w:ascii="Calibri" w:hAnsi="Calibri"/>
          <w:b w:val="0"/>
          <w:color w:val="3A4A28"/>
          <w:sz w:val="20"/>
        </w:rPr>
        <w:t>However, Bloomin' Brands faces severe structural headwinds that make the turnaround highly uncertain. D/E of 497% represents a dangerous capital structure with $1.6B+ debt on a razor-thin equity base, leaving minimal margin for error [5]. Profit margin of 0.55% and ROE of 6.82% are inadequate to service this debt load sustainably. Revenue of $3.96B in 2025 is essentially flat with 2019 ($4.14B), meaning the company has generated zero growth over six years while inflation has eroded real revenue. The casual dining segment faces secular decline as consumers shift toward fast-casual, delivery-first, and healthier dining options. CEO turnover (three CEOs in three years) creates strategy discontinuity risk. The dividend was suspended in 2025, and Glassdoor reviews describe a demoralized workforce with leadership credibility issues. The Inspire Insight ALIGNED score of 39 is a rare positive, but financial fundamentals remain deeply concerning.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Turnaround execution under CEO Mike Spanos gaining further traction with US comparable restaurant sales growth of 0.5%-2.5% in 2026 and continued guest satisfaction improvement driving traffic recovery at Outback Steakhouse</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operating cash flow and potential asset sales reducing the 497% D/E ratio and improving the capital structure toward a sustainable level that could support dividend reinstatement</w:t>
      </w:r>
    </w:p>
    <w:p>
      <w:pPr>
        <w:spacing w:before="40" w:after="40"/>
        <w:ind w:left="283"/>
      </w:pPr>
      <w:r>
        <w:rPr>
          <w:rFonts w:ascii="Calibri" w:hAnsi="Calibri"/>
          <w:b/>
          <w:color w:val="4A6B25"/>
          <w:sz w:val="20"/>
        </w:rPr>
        <w:t xml:space="preserve">3. </w:t>
      </w:r>
      <w:r>
        <w:rPr>
          <w:rFonts w:ascii="Calibri" w:hAnsi="Calibri"/>
          <w:b w:val="0"/>
          <w:color w:val="3A4A28"/>
          <w:sz w:val="20"/>
        </w:rPr>
        <w:t>AI-powered operational efficiencies through the DecisionNext commodity sourcing platform and demand forecasting tools reducing food costs and labor optimization, directly improving the razor-thin 0.55% profit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497% with $1.6B+ debt creates existential refinancing risk if the turnaround fails to improve EBITDA sufficiently before debt maturities, particularly in a higher-for-longer interest rate environment</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casual dining as consumers shift to fast-casual, delivery-first, and healthier dining options continues to erode traffic and comparable restaurant sales at Outback Steakhouse and Carrabba's</w:t>
      </w:r>
    </w:p>
    <w:p>
      <w:pPr>
        <w:spacing w:before="40" w:after="40"/>
        <w:ind w:left="283"/>
      </w:pPr>
      <w:r>
        <w:rPr>
          <w:rFonts w:ascii="Calibri" w:hAnsi="Calibri"/>
          <w:b/>
          <w:color w:val="4A6B25"/>
          <w:sz w:val="20"/>
        </w:rPr>
        <w:t xml:space="preserve">3. </w:t>
      </w:r>
      <w:r>
        <w:rPr>
          <w:rFonts w:ascii="Calibri" w:hAnsi="Calibri"/>
          <w:b w:val="0"/>
          <w:color w:val="3A4A28"/>
          <w:sz w:val="20"/>
        </w:rPr>
        <w:t>CEO turnover risk with three CEOs in three years creates strategy discontinuity; if Mike Spanos departs or the turnaround stalls, the company's thin equity base provides minimal buffer against further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Bloomin' Brands' core business of operating physical restaurants with in-person dining experiences, food preparation by human cooks, and hospitality-driven service is structurally immune to AI disruption [3]. AI cannot replace the physical experience of dining at an Outback Steakhouse or Fleming's. Real estate leases, supply chain logistics, food safety compliance, and labor management all require physical-world operations that AI cannot substitute. The restaurant industry may face indirect pressure from AI-powered food delivery optimization or robotic kitchen automation at quick-service competitors, but these are incremental efficiency threats rather than existential business model risks. AI Opportunity (0/1): While Bloomin' Brands has deployed AI for commodity sourcing (DecisionNext partnership) and is exploring AI-powered demand forecasting, these are operational efficiency tools that do not generate AI-specific revenue [3].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Bloomin' Brands Q1 2026 Earnings Release (Form 8-K) and Q1 2026 Slides —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Bloomin' Brands Turnaround Strategy Announcement and Q3 2025 Results — investors.bloominbrands.com, November 2025</w:t>
      </w:r>
    </w:p>
    <w:p>
      <w:pPr>
        <w:spacing w:before="20" w:after="20"/>
        <w:ind w:left="170"/>
      </w:pPr>
      <w:r>
        <w:rPr>
          <w:rFonts w:ascii="Calibri" w:hAnsi="Calibri"/>
          <w:b/>
          <w:color w:val="4A6B25"/>
          <w:sz w:val="15"/>
        </w:rPr>
        <w:t xml:space="preserve">3. </w:t>
      </w:r>
      <w:r>
        <w:rPr>
          <w:rFonts w:ascii="Calibri" w:hAnsi="Calibri"/>
          <w:b w:val="0"/>
          <w:color w:val="3A4A28"/>
          <w:sz w:val="17"/>
        </w:rPr>
        <w:t>CIO Dive — Restaurants develop a taste for AI: BJ's, Cracker Barrel, Bloomin' Brands AI use cases, 2025</w:t>
      </w:r>
    </w:p>
    <w:p>
      <w:pPr>
        <w:spacing w:before="20" w:after="20"/>
        <w:ind w:left="170"/>
      </w:pPr>
      <w:r>
        <w:rPr>
          <w:rFonts w:ascii="Calibri" w:hAnsi="Calibri"/>
          <w:b/>
          <w:color w:val="4A6B25"/>
          <w:sz w:val="15"/>
        </w:rPr>
        <w:t xml:space="preserve">4. </w:t>
      </w:r>
      <w:r>
        <w:rPr>
          <w:rFonts w:ascii="Calibri" w:hAnsi="Calibri"/>
          <w:b w:val="0"/>
          <w:color w:val="3A4A28"/>
          <w:sz w:val="17"/>
        </w:rPr>
        <w:t>World Benchmarking Alliance — Food and Agriculture Benchmark, Bloomin' Brands ESG Assessment, 2023</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BLMN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