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BLNK</w:t>
      </w:r>
      <w:r>
        <w:rPr>
          <w:rFonts w:ascii="Calibri" w:hAnsi="Calibri"/>
          <w:b/>
          <w:color w:val="1A2010"/>
          <w:sz w:val="40"/>
        </w:rPr>
        <w:t xml:space="preserve">  Blink Charging Co.</w:t>
      </w:r>
    </w:p>
    <w:p>
      <w:pPr>
        <w:spacing w:after="120"/>
      </w:pPr>
      <w:r>
        <w:rPr>
          <w:rFonts w:ascii="Calibri" w:hAnsi="Calibri"/>
          <w:b/>
          <w:color w:val="6E8450"/>
          <w:sz w:val="18"/>
        </w:rPr>
        <w:t>GROWTH SLEEVE · 2026-07-11 · Inspire: 71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NasdaqCM · United States</w:t>
      </w:r>
    </w:p>
    <w:p>
      <w:pPr>
        <w:spacing w:after="80"/>
      </w:pPr>
      <w:r>
        <w:rPr>
          <w:rFonts w:ascii="Calibri" w:hAnsi="Calibri"/>
          <w:b w:val="0"/>
          <w:color w:val="3A4A28"/>
          <w:sz w:val="20"/>
        </w:rPr>
        <w:t>Blink Charging Co. owns, operates, and provides electric vehicle charging equipment and networked EV charging services in the United States and internationally. The company offers Level 2 and DC fast charging stations for residential, commercial, fleet, and public applications, generating revenue through hardware sales, charging services, network fees, and fleet management. Service revenue now constitutes 64% of total revenue. Founded in 2009, headquartered in Bowie, Maryland.</w:t>
      </w:r>
    </w:p>
    <w:p>
      <w:r>
        <w:rPr>
          <w:rFonts w:ascii="Calibri" w:hAnsi="Calibri"/>
          <w:b/>
          <w:color w:val="6E8450"/>
          <w:sz w:val="18"/>
        </w:rPr>
        <w:t>320 Employees · https://www.blinkcharging.com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Blink has been in the EV charging business since 2009 but after 17 years has achieved only approximately $100M in annual revenue and remains deeply unprofitable [1][2]. Q1 2026 revenue of $20.8M was essentially flat YoY and missed analyst expectations of $36.6M by 43%, raising serious questions about demand and competitive positioning [1]. AI Deployment (1/2): Blink deploys AI for predictive maintenance (reportedly reducing station downtime by 15%), grid load-balancing algorithms, and smart charging schedule optimization via Stable Auto partnership [3]. These are operational efficiencies rather than commercially distinctive AI products. Market Share (0/2): Blink holds a minor share of the North American EV charging market dominated by Tesla Supercharger (now open-access NACS standard), ChargePoint, and utility-backed networks [5]. With only 320 employees and ~$100M revenue, the company lacks scale to compete against well-capitalized incumbents. Product Pipeline (1/2): DC fast charging build-out targeting 27 sites live by year-end 2026 and emerging Vehicle-to-Grid capabilities represent meaningful future potential, with CEO Battaglia calling DC fast charging 'central to how we are building Blink for the next decade' [2]. R&amp;D Intensity (0/1): Limited R&amp;D capability with only 320 employees and constrained cash resources; the company relies partly on acquisitions (Zemetric) for technology capabilities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Blink's mission to accelerate EV adoption through accessible charging infrastructure connects to the genuine cause of sustainable transportation and the energy transition [4]. The mission is clear and inherently meaningful but indistinguishable from ChargePoint, EVgo, and every other EV charging competitor. Community Impact (1/2): EV charging infrastructure directly contributes to decarbonization, cleaner air, and energy independence, and Blink's extensive Inspire positive attributions — including Environmental Risk Mitigation, GHG Emissions, Energy Management, and 17 total positive factors — validate genuine environmental impact beyond the core business [4]. Employee Retention (0/2): CEO turnover with Mike Battaglia appointed only in February 2025, combined with a tiny 320-person team, persistent financial losses, and organizational restructuring for 'synergies and cost efficiencies,' suggests retention challenges and instability [4]. Insider Buying (0/2): No evidence of significant net insider buying by executives was identified; at $0.57 per share the penny-stock status may deter institutional and insider accumulation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Blink's financial profile is deeply distressed: ROE of -94.42% and profit margin of -71.38% both score zero, reflecting unsustainable cash burn relative to revenue [1][5]. Revenue growth of 0.3% YoY is essentially flat, far below the 10% target. Forward P/E of -2.7 confirms the market expects continued losses, scoring zero. The bright spots are D/E of only 13.7% (well within the 70% target, scoring maximum) and the 5-year revenue CAGR of approximately 35% from a small base (scoring maximum at 2x weight), which lift the overall infrastructure score [5]. Operating expenses declined 35.3% YoY to $18.4M in Q1 2026, and service revenue mix (64% of total) is improving gross margins toward the 35% target for FY2026 [1]. FY2026 revenue guidance of $105M-$115M with 35% gross margins suggests gradual improvement but profitability remains years away [2]. Liquidity floor passes at $1.36M daily dollar volume ($0.57 x 2,392,450)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Blink Charging operates with a clean energy mission that has infinite game potential, but 17 years of operating losses, leadership turnover, and failure to achieve scale suggest the company is playing a survival game rather than an infinite one. CEO Mike Battaglia's appointment in February 2025 and the pivot toward DC fast charging and service revenue represent strategic shifts, but these feel reactive to competitive pressure rather than driven by a deeply held cause. The 320-person team and penny-stock valuation leave little margin for the long-term thinking infinite game play requires.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Blink's stated purpose of accelerating EV adoption through accessible charging infrastructure is a valid cause aligned with the energy transition, and CEO Battaglia has spoken about 'building Blink for the next decade and beyond' [2][4]. However, 17 years of losses, revenue decline from a $140.6M peak (2023) to $103.5M (2025), and leadership instability undermine whether the cause truly drives decision-making or whether survival has become the de facto mission.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320 employees, a CEO change in February 2025, additional executive leadership moves to 'build upon synergies and cost efficiencies,' and persistent financial losses creating survival-mode pressures, Blink's team environment appears characterized by instability and cost-driven restructuring rather than trust-building [4]. When leadership changes this frequently, employees spend energy adapting to new strategies rather than advancing a shared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Blink's leadership constructively acknowledging competitors' strengths or using rivals as motivation for self-improvement. CEO Battaglia's positioning avoids direct competitive framing, but the lack of substantive engagement with how Tesla Supercharger, ChargePoint, or utility-backed networks are superior suggests limited infinite-game rival thinking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Blink has executed a meaningful business model pivot from hardware-centric charger sales (which declined 26% in Q1 2026) toward a service-revenue model that now constitutes 64% of total revenue, up 25% YoY [1][2]. The strategic redirect from Level 2 chargers to DC fast charging infrastructure and the reduction of quarterly cash burn from $15M to approximately $2M demonstrate operational adaptability. However, these pivots were forced by competitive necessity and collapsing hardware demand rather than proactive reinvention in service of the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pivot to DC fast charging with a target of 27 sites by year-end 2026 represents a capital-intensive bet for a cash-constrained micro-cap, and CEO Battaglia's insistence that 'our business isn't built on government subsidies' shows independence of thought in a sector heavily dependent on policy support [2]. The willingness to accept revenue decline by de-emphasizing lower-margin hardware sales required conviction. However, these bets carry existential risk rather than strategic courage given the company's constrained financial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Blink Charging has executed a dramatic operational transformation, reducing quarterly cash burn from $15M to approximately $2M while shifting revenue composition from declining hardware sales (now 36%) to higher-margin recurring services (64% of total, up 25% YoY) [1]. Q1 2026 EPS of -$0.06 beat the -$0.12 forecast by 50%, and operating expenses declined 35.3% YoY to $18.4M, demonstrating meaningful cost discipline [1]. The company maintains a clean balance sheet with minimal debt (D/E 13.7%), and the DC fast charging build-out targeting 27 sites by year-end 2026 could catalyze the next growth phase as the structural EV adoption tailwind supports long-term demand for charging infrastructure [2]. The Inspire faith alignment score of 71 is among the highest in the coverage universe.</w:t>
      </w:r>
    </w:p>
    <w:p>
      <w:pPr>
        <w:spacing w:after="120"/>
      </w:pPr>
      <w:r>
        <w:rPr>
          <w:rFonts w:ascii="Calibri" w:hAnsi="Calibri"/>
          <w:b w:val="0"/>
          <w:color w:val="3A4A28"/>
          <w:sz w:val="20"/>
        </w:rPr>
        <w:t>The bear case remains severe: Blink trades at $0.57 per share with revenue essentially flat at $20.8M in Q1 2026 — a 43% miss versus the $36.6M analyst expectation — and remains deeply unprofitable with -71.38% profit margin and -94.42% ROE [1][5]. The FY2026 guidance range of $105M-$115M reflects execution uncertainty, and at this stock price Blink is a micro-cap with significant dilution risk from future capital raises needed to fund infrastructure build-out. The EV charging market faces structural challenges including slower-than-expected adoption, competition from Tesla's open-access Supercharger network (NACS standard), ChargePoint's installed base, and utility-backed programs that Blink's 320-person team cannot match at scale [2]. NASDAQ listing compliance at $0.57 per share is a real concern. Faith alignment does not factor into the IOWN overall score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DC fast charging network deployment targeting 27 sites by year-end 2026, with CEO Battaglia calling it 'central to how we are building Blink for the next decade,' potentially reopening the revenue growth trajectory [2]</w:t>
      </w:r>
    </w:p>
    <w:p>
      <w:pPr>
        <w:spacing w:before="40" w:after="40"/>
        <w:ind w:left="283"/>
      </w:pPr>
      <w:r>
        <w:rPr>
          <w:rFonts w:ascii="Calibri" w:hAnsi="Calibri"/>
          <w:b/>
          <w:color w:val="4A6B25"/>
          <w:sz w:val="20"/>
        </w:rPr>
        <w:t xml:space="preserve">2. </w:t>
      </w:r>
      <w:r>
        <w:rPr>
          <w:rFonts w:ascii="Calibri" w:hAnsi="Calibri"/>
          <w:b w:val="0"/>
          <w:color w:val="3A4A28"/>
          <w:sz w:val="20"/>
        </w:rPr>
        <w:t>Service revenue continuing to grow at 25%+ as the installed base generates recurring charging, maintenance, and network fees at higher margins, with FY2026 gross margin targeting 35% [1]</w:t>
      </w:r>
    </w:p>
    <w:p>
      <w:pPr>
        <w:spacing w:before="40" w:after="40"/>
        <w:ind w:left="283"/>
      </w:pPr>
      <w:r>
        <w:rPr>
          <w:rFonts w:ascii="Calibri" w:hAnsi="Calibri"/>
          <w:b/>
          <w:color w:val="4A6B25"/>
          <w:sz w:val="20"/>
        </w:rPr>
        <w:t xml:space="preserve">3. </w:t>
      </w:r>
      <w:r>
        <w:rPr>
          <w:rFonts w:ascii="Calibri" w:hAnsi="Calibri"/>
          <w:b w:val="0"/>
          <w:color w:val="3A4A28"/>
          <w:sz w:val="20"/>
        </w:rPr>
        <w:t>Quarterly cash burn reduction from $15M to approximately $2M extending runway significantly, with adjusted EBITDA breakeven potentially achievable in 2027 if the service revenue trajectory continues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of $20.8M missed expectations by 43% ($36.6M forecast), and revenue is essentially flat YoY, raising serious questions about demand and competitive positioning in a rapidly evolving EV charging market [1]</w:t>
      </w:r>
    </w:p>
    <w:p>
      <w:pPr>
        <w:spacing w:before="40" w:after="40"/>
        <w:ind w:left="283"/>
      </w:pPr>
      <w:r>
        <w:rPr>
          <w:rFonts w:ascii="Calibri" w:hAnsi="Calibri"/>
          <w:b/>
          <w:color w:val="4A6B25"/>
          <w:sz w:val="20"/>
        </w:rPr>
        <w:t xml:space="preserve">2. </w:t>
      </w:r>
      <w:r>
        <w:rPr>
          <w:rFonts w:ascii="Calibri" w:hAnsi="Calibri"/>
          <w:b w:val="0"/>
          <w:color w:val="3A4A28"/>
          <w:sz w:val="20"/>
        </w:rPr>
        <w:t>At $0.57 per share with persistent losses and -94.42% ROE, the company faces significant dilution risk from future capital raises and potential NASDAQ listing compliance issues [5]</w:t>
      </w:r>
    </w:p>
    <w:p>
      <w:pPr>
        <w:spacing w:before="40" w:after="40"/>
        <w:ind w:left="283"/>
      </w:pPr>
      <w:r>
        <w:rPr>
          <w:rFonts w:ascii="Calibri" w:hAnsi="Calibri"/>
          <w:b/>
          <w:color w:val="4A6B25"/>
          <w:sz w:val="20"/>
        </w:rPr>
        <w:t xml:space="preserve">3. </w:t>
      </w:r>
      <w:r>
        <w:rPr>
          <w:rFonts w:ascii="Calibri" w:hAnsi="Calibri"/>
          <w:b w:val="0"/>
          <w:color w:val="3A4A28"/>
          <w:sz w:val="20"/>
        </w:rPr>
        <w:t>Tesla's open-access Supercharger network (NACS standard), ChargePoint's installed base, and utility-backed programs create overwhelming competitive pressure that Blink's 320-person team and constrained capital cannot match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EV charging is fundamentally a physical infrastructure business — AI structurally cannot replace the need for deployed chargers, electrical connections, permitting, site maintenance, and grid integration [2]. This provides inherent protection from AI disruption that purely digital businesses lack. The EV transition creates accelerating demand for physical charging infrastructure regardless of AI developments, and autonomous vehicles will require more, not fewer, charging stations. However, competitors with superior AI capabilities (Tesla's site optimization, ChargePoint's network intelligence) could achieve better site selection, demand forecasting, dynamic pricing, and grid integration, creating competitive advantages within the industry that Blink's limited R&amp;D budget cannot match [3]. AI Opportunity (0/1): Blink's AI deployments — predictive maintenance, grid optimization, Stable Auto partnership — are basic operational tools that improve efficiency but do not generate standalone AI revenue or create commercially distinctive AI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Blink Charging Q1 2026 Earnings Release — Revenue, EPS, and Operating Expense Reduction — SEC 8-K Filing, May 2026</w:t>
      </w:r>
    </w:p>
    <w:p>
      <w:pPr>
        <w:spacing w:before="20" w:after="20"/>
        <w:ind w:left="170"/>
      </w:pPr>
      <w:r>
        <w:rPr>
          <w:rFonts w:ascii="Calibri" w:hAnsi="Calibri"/>
          <w:b/>
          <w:color w:val="4A6B25"/>
          <w:sz w:val="15"/>
        </w:rPr>
        <w:t xml:space="preserve">2. </w:t>
      </w:r>
      <w:r>
        <w:rPr>
          <w:rFonts w:ascii="Calibri" w:hAnsi="Calibri"/>
          <w:b w:val="0"/>
          <w:color w:val="3A4A28"/>
          <w:sz w:val="17"/>
        </w:rPr>
        <w:t>Blink Charging FY2026 Revenue Guidance ($105M-$115M) and DC Fast Charging Strategy — Seeking Alpha, June 2026</w:t>
      </w:r>
    </w:p>
    <w:p>
      <w:pPr>
        <w:spacing w:before="20" w:after="20"/>
        <w:ind w:left="170"/>
      </w:pPr>
      <w:r>
        <w:rPr>
          <w:rFonts w:ascii="Calibri" w:hAnsi="Calibri"/>
          <w:b/>
          <w:color w:val="4A6B25"/>
          <w:sz w:val="15"/>
        </w:rPr>
        <w:t xml:space="preserve">3. </w:t>
      </w:r>
      <w:r>
        <w:rPr>
          <w:rFonts w:ascii="Calibri" w:hAnsi="Calibri"/>
          <w:b w:val="0"/>
          <w:color w:val="3A4A28"/>
          <w:sz w:val="17"/>
        </w:rPr>
        <w:t>Blink Charging AI Initiatives, Predictive Maintenance, and Grid Optimization — Intellectia.AI, 2026</w:t>
      </w:r>
    </w:p>
    <w:p>
      <w:pPr>
        <w:spacing w:before="20" w:after="20"/>
        <w:ind w:left="170"/>
      </w:pPr>
      <w:r>
        <w:rPr>
          <w:rFonts w:ascii="Calibri" w:hAnsi="Calibri"/>
          <w:b/>
          <w:color w:val="4A6B25"/>
          <w:sz w:val="15"/>
        </w:rPr>
        <w:t xml:space="preserve">4. </w:t>
      </w:r>
      <w:r>
        <w:rPr>
          <w:rFonts w:ascii="Calibri" w:hAnsi="Calibri"/>
          <w:b w:val="0"/>
          <w:color w:val="3A4A28"/>
          <w:sz w:val="17"/>
        </w:rPr>
        <w:t>Mike Battaglia Named President and CEO; Blink Sustainability and Leadership — blinkcharging.com,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BLNK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