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BLSH</w:t>
      </w:r>
      <w:r>
        <w:rPr>
          <w:rFonts w:ascii="Calibri" w:hAnsi="Calibri"/>
          <w:b/>
          <w:color w:val="1A2010"/>
          <w:sz w:val="40"/>
        </w:rPr>
        <w:t xml:space="preserve">  Bullish</w:t>
      </w:r>
    </w:p>
    <w:p>
      <w:pPr>
        <w:spacing w:after="120"/>
      </w:pPr>
      <w:r>
        <w:rPr>
          <w:rFonts w:ascii="Calibri" w:hAnsi="Calibri"/>
          <w:b/>
          <w:color w:val="6E8450"/>
          <w:sz w:val="18"/>
        </w:rPr>
        <w:t>GROWTH SLEEVE · 2026-07-18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Financial Data &amp; Stock Exchanges · NYSE · Cayman Islands</w:t>
      </w:r>
    </w:p>
    <w:p>
      <w:pPr>
        <w:spacing w:after="80"/>
      </w:pPr>
      <w:r>
        <w:rPr>
          <w:rFonts w:ascii="Calibri" w:hAnsi="Calibri"/>
          <w:b w:val="0"/>
          <w:color w:val="3A4A28"/>
          <w:sz w:val="20"/>
        </w:rPr>
        <w:t>Bullish is an institutionally-focused global digital asset platform operating a regulated spot and derivatives crypto exchange (Bullish Exchange), the CoinDesk media and indices business, and — pending the $4.2B Equiniti acquisition — tokenized securities and transfer-agency services. The company became the first digital asset exchange listed on the NYSE in August 2025 under CEO Tom Farley, former President of NYSE Group, and holds regulatory licenses including NYDFS BitLicense, Germany's BaFin MiCAR license, and Gibraltar tokenized-securities approval.</w:t>
      </w:r>
    </w:p>
    <w:p>
      <w:r>
        <w:rPr>
          <w:rFonts w:ascii="Calibri" w:hAnsi="Calibri"/>
          <w:b/>
          <w:color w:val="6E8450"/>
          <w:sz w:val="18"/>
        </w:rPr>
        <w:t>414 Employees · https://www.bullish.com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Bullish became the first digital asset exchange listed on the NYSE in August 2025, launched its options trading platform on October 29, 2025 (driving Subscription/Services/Other revenue up 284% to $54.6M), and in May 2026 agreed to acquire Equiniti for $4.2B to extend into tokenized securities and traditional transfer-agent services — a genuine platform transformation, not an incremental refresh [1][2][4]. AI Deployment (0/2): No evidence was found of Bullish shipping its own AI-powered products or reporting quantified AI-driven cost savings; its AI exposure is thematic (AI-linked token trading demand) rather than product-level [5]. Market Share (2/2): Bullish's CoinDesk Indices (CoinDesk 5, CoinDesk 20) serve as the benchmark for over $30B in institutional assets, and Q4 2025 adjusted revenue surged 70% YoY on derivatives dominance, evidencing real institutional share gains [1][3]. Product Pipeline (2/2): Gibraltar regulatory approval for tokenized securities trading, a newly appointed Head of Tokenization, and the pending Equiniti deal (closing targeted January 2027) give dated visibility into the next growth leg, with JPMorgan projecting tokenization could expand revenue per client 'by multiples' [4][5]. R&amp;D Intensity (0/1): No R&amp;D-as-percent-of-revenue disclosure was found; as an exchange/infrastructure operator Bullish does not break out R&amp;D separately from technology and development costs [6].</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Bullish states it 'believes passionately that the era of digital assets is only beginning' and is building 'institutional-grade,' 'compliance-first' infrastructure — a clear description of what the company does and for whom, but the language is largely interchangeable with peer institutional exchanges and has not yet been tested across a full market cycle [3]. Community Impact (0/2): No evidence of charitable giving, a company foundation, or community investment programs was found in company materials or press coverage. Employee Retention (0/2): No tenure or voluntary-turnover data is publicly disclosed for Bullish's 414-person workforce [6]. Insider Buying (0/2): CEO Tom Farley and co-founder Bonanno hold BMC1 equity conversion rights tied to founder compensation structures, but no evidence of net open-market insider buying in the last 12 months was found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no dividend). Liquidity passes comfortably ($22.41 price x 1.23M average daily volume ≈ $27.6M &gt;&gt; $1M floor) [6]. D/E of 19% is excellent (well inside the 70% target) and Q1 2026 revenue grew ~49% YoY to $92.8M despite a 24% quarterly Bitcoin decline, both scoring at or near the 1.0 cap [1][6]. Forward P/E of 34.9x scores moderately (0.63) against the 20x target. However, ROE of -34.7% and a deeply negative net margin (Q4 2025 net loss of $563.6M against $267.9M TTM revenue) both floor at 0, reflecting the heavy stock-based compensation and IPO-related charges typical of a newly public company; 5yr revenue CAGR and forward PEG were excluded as not meaningful given the August 2025 IPO and negative earnings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Bullish is a young, newly public company (IPO August 2025) still building the evidentiary track record Sinek requires. Its compliance-first regulatory strategy and willingness to expand into adjacent, less-familiar territory (tokenized securities, transfer agency via Equiniti) show some infinite-game instincts, but the absence of a multi-decade purpose validation, employee-culture evidence, or a Just Cause beyond industry-standard 'crypto is the future' framing keeps it in finite territory for now.</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Bullish's stated belief that 'the era of digital assets is only beginning' is a widely-used industry framing shared by nearly every crypto exchange rather than a distinctive, resilient cause; it has not been tested through a full market cycle or crisis, and references to it in coverage are largely promotional rather than decision-shaping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evidence of layoffs, turnover, or cultural instability was found, nor was there positive evidence of exceptional employee empowerment or long tenure at the 414-person organization — an average, unremarkable picture given the available data [6].</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Bullish management publicly acknowledging competitors' strengths or framing competition as motivation for self-improvement; coverage of the company focuses on its own regulatory and M&amp;A milestones rather than competitive dynamics [1][3][4].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Expanding from a pure crypto derivatives exchange into tokenized traditional securities and transfer-agent services via the Equiniti deal represents real adjacent-market evolution, but the core exchange business remains intact rather than being abandoned or reinvented, falling short of a fully transformative pivot [4].</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Choosing the slower, costlier path of full regulatory licensing (BaFin, NYDFS, Gibraltar) instead of operating offshore like many crypto competitors reflects a real, costed commitment to long-term legitimacy over short-term growth speed, though the $4.2B Equiniti acquisition also reads as conventional value-accretive M&amp;A rather than a principled sacrifice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Bullish delivered explosive growth in its first year as a public company, with Q4 2025 adjusted revenue up 70% YoY to $92.5M and Q1 2026 adjusted revenue up ~49% YoY to $92.8M despite a 24% quarter-over-quarter decline in Bitcoin prices, demonstrating resilient institutional trading volumes even in a weak crypto tape [1]. The Subscription, Services &amp; Other segment — boosted by the October 2025 options platform launch — grew 284% to $54.6M, and management guided FY2026 pre-synergy adjusted revenue of $1.25B-$1.35B with adjusted EBITDA less capex of $490M-$530M [2]. The pending $4.2B Equiniti acquisition and Gibraltar approval for tokenized securities trading position Bullish to capture what JPMorgan calls a potential multi-fold expansion in revenue per client as institutional tokenization scales, while its NYDFS, BaFin, and Gibraltar licenses create a genuine regulatory moat versus offshore-domiciled competitors [4][5].</w:t>
      </w:r>
    </w:p>
    <w:p>
      <w:pPr>
        <w:spacing w:after="120"/>
      </w:pPr>
      <w:r>
        <w:rPr>
          <w:rFonts w:ascii="Calibri" w:hAnsi="Calibri"/>
          <w:b w:val="0"/>
          <w:color w:val="3A4A28"/>
          <w:sz w:val="20"/>
        </w:rPr>
        <w:t>The bear case centers on financial mechanics that remain unproven: Bullish posted a $563.6M net loss in Q4 2025 and carries a -34.7% return on equity and deeply negative net margin, reflecting heavy stock-based compensation and IPO-related charges typical of a newly public company, leaving little cushion if crypto markets stay weak [1][6]. At a 34.9x forward P/E with revenue still highly correlated to volatile digital-asset prices, the stock (down from a post-IPO high of $118 to $22.41, a roughly 81% drawdown) prices in continued hypergrowth that a crypto bear market could quickly derail [6]. The $4.2B Equiniti deal also concentrates execution risk — integrating a traditional transfer-agency business is a meaningfully different operational challenge than running a crypto exchange, and JPMorgan itself flagged open questions on the timing and demand for the tokenized share services central to the deal's rationale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Equiniti acquisition closing (targeted January 2027) unlocking cross-sell into traditional capital markets and tokenized share registry services, which JPMorgan estimates could expand revenue per institutional client by multiples [4][5]</w:t>
      </w:r>
    </w:p>
    <w:p>
      <w:pPr>
        <w:spacing w:before="40" w:after="40"/>
        <w:ind w:left="283"/>
      </w:pPr>
      <w:r>
        <w:rPr>
          <w:rFonts w:ascii="Calibri" w:hAnsi="Calibri"/>
          <w:b/>
          <w:color w:val="4A6B25"/>
          <w:sz w:val="20"/>
        </w:rPr>
        <w:t xml:space="preserve">2. </w:t>
      </w:r>
      <w:r>
        <w:rPr>
          <w:rFonts w:ascii="Calibri" w:hAnsi="Calibri"/>
          <w:b w:val="0"/>
          <w:color w:val="3A4A28"/>
          <w:sz w:val="20"/>
        </w:rPr>
        <w:t>Gibraltar-approved tokenized securities platform rollout in the coming weeks, extending Bullish's regulated exchange model into a new asset class beyond spot/derivatives crypto trading [4]</w:t>
      </w:r>
    </w:p>
    <w:p>
      <w:pPr>
        <w:spacing w:before="40" w:after="40"/>
        <w:ind w:left="283"/>
      </w:pPr>
      <w:r>
        <w:rPr>
          <w:rFonts w:ascii="Calibri" w:hAnsi="Calibri"/>
          <w:b/>
          <w:color w:val="4A6B25"/>
          <w:sz w:val="20"/>
        </w:rPr>
        <w:t xml:space="preserve">3. </w:t>
      </w:r>
      <w:r>
        <w:rPr>
          <w:rFonts w:ascii="Calibri" w:hAnsi="Calibri"/>
          <w:b w:val="0"/>
          <w:color w:val="3A4A28"/>
          <w:sz w:val="20"/>
        </w:rPr>
        <w:t>Continued institutional derivatives volume growth toward the $1.25B-$1.35B FY2026 adjusted revenue guidance, which would validate the 70%+ growth trajectory seen in Q4 2025 and Q1 2026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Deeply negative profitability (-34.7% ROE, -373% net margin) driven by IPO-related and stock-based compensation charges leaves minimal balance-sheet cushion if crypto trading volumes or prices decline [1][6]</w:t>
      </w:r>
    </w:p>
    <w:p>
      <w:pPr>
        <w:spacing w:before="40" w:after="40"/>
        <w:ind w:left="283"/>
      </w:pPr>
      <w:r>
        <w:rPr>
          <w:rFonts w:ascii="Calibri" w:hAnsi="Calibri"/>
          <w:b/>
          <w:color w:val="4A6B25"/>
          <w:sz w:val="20"/>
        </w:rPr>
        <w:t xml:space="preserve">2. </w:t>
      </w:r>
      <w:r>
        <w:rPr>
          <w:rFonts w:ascii="Calibri" w:hAnsi="Calibri"/>
          <w:b w:val="0"/>
          <w:color w:val="3A4A28"/>
          <w:sz w:val="20"/>
        </w:rPr>
        <w:t>Revenue remains structurally correlated to crypto market conditions — Q1 2026 revenue grew only modestly despite a 24% quarterly Bitcoin decline, and a sustained bear market would directly compress transaction revenue [1]</w:t>
      </w:r>
    </w:p>
    <w:p>
      <w:pPr>
        <w:spacing w:before="40" w:after="40"/>
        <w:ind w:left="283"/>
      </w:pPr>
      <w:r>
        <w:rPr>
          <w:rFonts w:ascii="Calibri" w:hAnsi="Calibri"/>
          <w:b/>
          <w:color w:val="4A6B25"/>
          <w:sz w:val="20"/>
        </w:rPr>
        <w:t xml:space="preserve">3. </w:t>
      </w:r>
      <w:r>
        <w:rPr>
          <w:rFonts w:ascii="Calibri" w:hAnsi="Calibri"/>
          <w:b w:val="0"/>
          <w:color w:val="3A4A28"/>
          <w:sz w:val="20"/>
        </w:rPr>
        <w:t>The $4.2B Equiniti acquisition concentrates integration risk in an unfamiliar traditional-finance business line, with JPMorgan flagging open questions on timing and demand for the tokenized share services central to the deal's rationale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Bullish's core business — a regulated institutional exchange requiring licenses across multiple jurisdictions (NYDFS BitLicense, Germany's BaFin MiCAR license, Gibraltar tokenized-securities approval) plus balance-sheet-backed market making — is well defended against direct AI substitution, since AI agents cannot replicate regulatory licensing or custody trust [4]. However, industry research flags that AI trading agents are beginning to automate strategies previously reserved for institutions, a longer-term disintermediation risk to centralized exchange interfaces that keeps this below IMMUNE tier [5]. AI Opportunity (0/1): While tokenization and AI-linked token trading are cited as 2026 growth themes industry-wide, no Bullish-specific quantified AI product revenue was identified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Bullish Q4 2025 and Q1 2026 Earnings Coverage — CoinDesk, The Motley Fool, Yahoo Finance, February &amp; May 2026</w:t>
      </w:r>
    </w:p>
    <w:p>
      <w:pPr>
        <w:spacing w:before="20" w:after="20"/>
        <w:ind w:left="170"/>
      </w:pPr>
      <w:r>
        <w:rPr>
          <w:rFonts w:ascii="Calibri" w:hAnsi="Calibri"/>
          <w:b/>
          <w:color w:val="4A6B25"/>
          <w:sz w:val="15"/>
        </w:rPr>
        <w:t xml:space="preserve">2. </w:t>
      </w:r>
      <w:r>
        <w:rPr>
          <w:rFonts w:ascii="Calibri" w:hAnsi="Calibri"/>
          <w:b w:val="0"/>
          <w:color w:val="3A4A28"/>
          <w:sz w:val="17"/>
        </w:rPr>
        <w:t>Bullish FY2026 Revenue Guidance and SS&amp;O Segment Growth — FinancialContent, Yahoo Finance, February 2026</w:t>
      </w:r>
    </w:p>
    <w:p>
      <w:pPr>
        <w:spacing w:before="20" w:after="20"/>
        <w:ind w:left="170"/>
      </w:pPr>
      <w:r>
        <w:rPr>
          <w:rFonts w:ascii="Calibri" w:hAnsi="Calibri"/>
          <w:b/>
          <w:color w:val="4A6B25"/>
          <w:sz w:val="15"/>
        </w:rPr>
        <w:t xml:space="preserve">3. </w:t>
      </w:r>
      <w:r>
        <w:rPr>
          <w:rFonts w:ascii="Calibri" w:hAnsi="Calibri"/>
          <w:b w:val="0"/>
          <w:color w:val="3A4A28"/>
          <w:sz w:val="17"/>
        </w:rPr>
        <w:t>Bullish Leadership and Corporate Overview — bullish.com/About Us, Simply Wall St, The Block</w:t>
      </w:r>
    </w:p>
    <w:p>
      <w:pPr>
        <w:spacing w:before="20" w:after="20"/>
        <w:ind w:left="170"/>
      </w:pPr>
      <w:r>
        <w:rPr>
          <w:rFonts w:ascii="Calibri" w:hAnsi="Calibri"/>
          <w:b/>
          <w:color w:val="4A6B25"/>
          <w:sz w:val="15"/>
        </w:rPr>
        <w:t xml:space="preserve">4. </w:t>
      </w:r>
      <w:r>
        <w:rPr>
          <w:rFonts w:ascii="Calibri" w:hAnsi="Calibri"/>
          <w:b w:val="0"/>
          <w:color w:val="3A4A28"/>
          <w:sz w:val="17"/>
        </w:rPr>
        <w:t>Bullish Regulatory Approvals (BaFin MiCAR, NYDFS BitLicense, Gibraltar) and Equiniti Acquisition — GlobeNewswire, MarketScreener, June-July 2026</w:t>
      </w:r>
    </w:p>
    <w:p>
      <w:pPr>
        <w:spacing w:before="20" w:after="20"/>
        <w:ind w:left="170"/>
      </w:pPr>
      <w:r>
        <w:rPr>
          <w:rFonts w:ascii="Calibri" w:hAnsi="Calibri"/>
          <w:b/>
          <w:color w:val="4A6B25"/>
          <w:sz w:val="15"/>
        </w:rPr>
        <w:t xml:space="preserve">5. </w:t>
      </w:r>
      <w:r>
        <w:rPr>
          <w:rFonts w:ascii="Calibri" w:hAnsi="Calibri"/>
          <w:b w:val="0"/>
          <w:color w:val="3A4A28"/>
          <w:sz w:val="17"/>
        </w:rPr>
        <w:t>JPMorgan Analyst Commentary on Tokenization Revenue Potential — CoinDesk, Intellectia,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BLSH Key Statistics, Financial Ratios, and Financials,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