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BMNR</w:t>
      </w:r>
      <w:r>
        <w:rPr>
          <w:rFonts w:ascii="Calibri" w:hAnsi="Calibri"/>
          <w:b/>
          <w:color w:val="1A2010"/>
          <w:sz w:val="40"/>
        </w:rPr>
        <w:t xml:space="preserve">  BitMine Immersion Technologies, Inc.</w:t>
      </w:r>
    </w:p>
    <w:p>
      <w:pPr>
        <w:spacing w:after="120"/>
      </w:pPr>
      <w:r>
        <w:rPr>
          <w:rFonts w:ascii="Calibri" w:hAnsi="Calibri"/>
          <w:b/>
          <w:color w:val="6E8450"/>
          <w:sz w:val="18"/>
        </w:rPr>
        <w:t>GROWTH SLEEVE · 2026-08-12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Digital Assets · NYSE · United States</w:t>
      </w:r>
    </w:p>
    <w:p>
      <w:pPr>
        <w:spacing w:after="80"/>
      </w:pPr>
      <w:r>
        <w:rPr>
          <w:rFonts w:ascii="Calibri" w:hAnsi="Calibri"/>
          <w:b w:val="0"/>
          <w:color w:val="3A4A28"/>
          <w:sz w:val="20"/>
        </w:rPr>
        <w:t>BitMine Immersion Technologies operates as a blockchain technology company focused on Ethereum treasury operations, BTC ecosystem services, and institutional staking through its MAVAN platform. The company holds over 4.7 million ETH staked with annualized staking revenues projected at approximately $230M, supported by total crypto and cash holdings of about $9.6B. Wall Street veteran Thomas Lee serves as Board Chairman. Q3 2026 revenue surged to $46.5M but net losses widened to $83.6M. Market cap approximately $10.9 billion with only 3 employees.</w:t>
      </w:r>
    </w:p>
    <w:p>
      <w:r>
        <w:rPr>
          <w:rFonts w:ascii="Calibri" w:hAnsi="Calibri"/>
          <w:b/>
          <w:color w:val="6E8450"/>
          <w:sz w:val="18"/>
        </w:rPr>
        <w:t>3 Employees · https://bitminetech.io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BitMine has executed a dramatic strategic pivot from Bitcoin immersion cooling mining to becoming the second-largest crypto treasury company (behind Strategy/MicroStrategy), accumulating 4.7 million ETH and building the MAVAN (Made-in-America Validator Network) staking platform [1]. The pivot from BTC mining to an ETH-focused institutional treasury and staking operation represents genuine business model transformation. The company declared the first-ever crypto dividend, signaling institutional ambition. However, this is a financial engineering play rather than technology innovation. AI Deployment (0/2): No AI products or AI-driven cost savings evident. The company's operations are crypto treasury management and staking — AI is not deployed in any meaningful capacity [1]. Market Share (2/2): BitMine is the second-largest crypto treasury company globally and holds approximately 3.5% of total Ethereum supply — a dominant position in institutional ETH staking. MAVAN has over 4.7 million ETH staked and is among the 50 most-traded US stocks by daily dollar volume [1]. Product Pipeline (0/2): No specific next-generation products with launch timelines. The company's strategy is to accumulate more ETH and expand staking operations, which is capital deployment rather than product development. R&amp;D Intensity (1/1): Investment in MAVAN staking infrastructure and immersion cooling technology represents above-average technical investment for a 3-employee firm, though R&amp;D is minimal in absolute terms.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BitMine's stated purpose of bridging 'traditional capital markets and the supercycle Ethereum ecosystem' is generic financial positioning rather than a genuine purpose statement. The company exists to accumulate and stake ETH — there is no articulated vision of a better future beyond financial returns [1]. Community Impact (0/2): No evidence of charitable giving, foundation, or community investment programs. With 3 employees, the company has negligible community footprint. The $200M commitment to MrBeast's Beast Industries raises more questions about capital allocation than community impact. Employee Retention (0/2): Three employees and three board resignations in November 2025 make organizational culture assessment impossible. CEO transition from Jonathan Bates to Chi Tsang with $1.9M severance suggests instability rather than retention [2]. Insider Buying (1/2): Tom Lee's involvement as Chairman and institutional backing from ARK, Founders Fund, and Pantera signal some leadership conviction, though this is venture investment rather than open-market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Liquidity floor passes: 32.8M avg volume x $18.09 = $593M daily liquidity [3]. D/E of 0.0% scores 1.0 (well below 70% target) (1x weight). ROE of -150.91% scores 0.0 (deeply negative) (2x weight). Revenue Growth YoY of 627.8% scores 1.0 (1x weight) — though this reflects the pivot from near-zero BTC mining revenue to ETH staking revenue, not organic growth. Revenue Growth 5yr CAGR unavailable — excluded. Forward P/E of 45.23 scores (60-45.23)/(60-20) = 0.369 (1x weight). Profit Margin effectively 0% or negative (net loss of $8.77B on $61.2M revenue) scores 0.0 (1x weight) [3]. Forward PEG unavailable — excluded. Weighted sum: 1.0 + (2x0.0) + 1.0 + 0.369 + 0.0 = 2.369. Max weighted sum = 6 (excluding 5yr CAGR and PEG). Infrastructure = round(2.369/6 x 10) = round(3.95) = 4. However, the $8.77B net loss on $61.2M revenue (143x losses-to-revenue ratio) and share dilution of +15,608% YoY represent catastrophic capital destruction for existing shareholders, warranting a downward adjustment to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BitMine exhibits predominantly finite game characteristics. The concentration of 3.5% of all Ethereum supply in a single entity with 3 employees, contentious shareholder meetings, three board resignations, CEO replacement, and speculative capital allocation (including $200M to Beast Industries) suggest a focus on short-term crypto market dynamics and financial engineering rather than building enduring organizational value. The company's identity and strategy are entirely tethered to ETH price, which Sinek would characterize as the most finite possible game — playing to win on price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BitMine has no discernible Just Cause. The company exists to accumulate Ethereum and generate returns from staking. The stated purpose of 'bridging traditional capital markets and the Ethereum ecosystem' is a financial proposition, not a vision of a better future. Concentrating 3.5% of ETH supply in a single entity with 3 employees arguably undermines blockchain's core value proposition of decentralization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director resignations in November 2025, CEO transition from Jonathan Bates to Chi Tsang with $1.9M severance, and contentious shareholder meetings with absent executives and rushed presentations expose deep governance instability [2]. Operating with just 3 employees makes organizational trust culture effectively irrelevant — this is a holding company with minimal human capital.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BitMine acknowledges competitors' strengths or uses rivalry constructively. The company's positioning against Lido, Coinbase staking, and Rocket Pool focuses on scale advantages (4.7M ETH) and institutional backing rather than learning from competitors' approaches or improving based on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Bitcoin immersion mining to an Ethereum treasury and staking company represents a fundamental business model transformation — effectively abandoning the original business entirely [1]. However, this shift was driven by market opportunity (ETH staking yields) rather than a purposeful decision in service of a deeper cause. The extreme concentration in a single crypto asset creates fragility, not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Accumulating 4.7 million ETH (3.5% of total supply) is bold but borders on reckless given the governance instability, 3-employee structure, and $8.77B in net losses [1][2]. Declaring the first crypto dividend was notable, but the contentious shareholder meetings, board resignations, and 15,608% share dilution undermine any narrative of principled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BitMine offers concentrated Ethereum exposure through 4.7 million staked ETH (~$9.6B in total crypto and cash holdings) with annualized staking revenues projected at $230M through its MAVAN institutional staking platform [1]. Q3 2026 revenue surged to $46.5M with operating profit of $9.3M, demonstrating improving unit economics. The stock is among the 50 most-traded in the US at $2.5B daily dollar volume, and analyst consensus is 'Strong Buy' with a $31.87 average price target (79% upside). Institutional backing from ARK, Founders Fund, and Pantera provides credibility, and the first-ever crypto dividend signals maturation toward traditional capital markets norms.</w:t>
      </w:r>
    </w:p>
    <w:p>
      <w:pPr>
        <w:spacing w:after="120"/>
      </w:pPr>
      <w:r>
        <w:rPr>
          <w:rFonts w:ascii="Calibri" w:hAnsi="Calibri"/>
          <w:b w:val="0"/>
          <w:color w:val="3A4A28"/>
          <w:sz w:val="20"/>
        </w:rPr>
        <w:t>The bear case is existential: the stock is down 89% over the past year despite holding $9.6B in assets, reflecting massive shareholder dilution (+15,608% YoY in shares outstanding) that has catastrophically destroyed per-share value [2][3]. Net losses of $8.77B on $61.2M in TTM revenue represent a 143x losses-to-revenue ratio driven by ETH mark-to-market accounting. The authorization of 50 billion shares creates unlimited additional dilution risk. Governance remains unstable — 3 employees managing an $10.9B market cap entity with three board resignations, CEO replacement, and contentious shareholder meetings. The $200M Beast Industries commitment raises capital allocation discipline questions. Any sustained Ethereum price decline below $2,000 could trigger forced liquidations. SEC regulatory action against staking-as-a-security would undermine the entire business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recovery and expansion of staking yields would directly boost revenue and reverse unrealized mark-to-market losses on the 4.7M ETH position, potentially re-rating the stock toward $31.87 analyst target</w:t>
      </w:r>
    </w:p>
    <w:p>
      <w:pPr>
        <w:spacing w:before="40" w:after="40"/>
        <w:ind w:left="283"/>
      </w:pPr>
      <w:r>
        <w:rPr>
          <w:rFonts w:ascii="Calibri" w:hAnsi="Calibri"/>
          <w:b/>
          <w:color w:val="4A6B25"/>
          <w:sz w:val="20"/>
        </w:rPr>
        <w:t xml:space="preserve">2. </w:t>
      </w:r>
      <w:r>
        <w:rPr>
          <w:rFonts w:ascii="Calibri" w:hAnsi="Calibri"/>
          <w:b w:val="0"/>
          <w:color w:val="3A4A28"/>
          <w:sz w:val="20"/>
        </w:rPr>
        <w:t>MAVAN institutional staking platform scaling could attract additional institutional capital and validate BitMine's 'digital Berkshire' capital allocation model</w:t>
      </w:r>
    </w:p>
    <w:p>
      <w:pPr>
        <w:spacing w:before="40" w:after="40"/>
        <w:ind w:left="283"/>
      </w:pPr>
      <w:r>
        <w:rPr>
          <w:rFonts w:ascii="Calibri" w:hAnsi="Calibri"/>
          <w:b/>
          <w:color w:val="4A6B25"/>
          <w:sz w:val="20"/>
        </w:rPr>
        <w:t xml:space="preserve">3. </w:t>
      </w:r>
      <w:r>
        <w:rPr>
          <w:rFonts w:ascii="Calibri" w:hAnsi="Calibri"/>
          <w:b w:val="0"/>
          <w:color w:val="3A4A28"/>
          <w:sz w:val="20"/>
        </w:rPr>
        <w:t>Governance stabilization under CEO Chi Tsang and reconstituted board could restore shareholder confidence and reduce the 89% discount to crypto-based NAV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Ethereum price decline could trigger forced selling of the 4.7M ETH position, creating a death spiral for a company with $8.77B in existing net losses and minimal revenue diversification</w:t>
      </w:r>
    </w:p>
    <w:p>
      <w:pPr>
        <w:spacing w:before="40" w:after="40"/>
        <w:ind w:left="283"/>
      </w:pPr>
      <w:r>
        <w:rPr>
          <w:rFonts w:ascii="Calibri" w:hAnsi="Calibri"/>
          <w:b/>
          <w:color w:val="4A6B25"/>
          <w:sz w:val="20"/>
        </w:rPr>
        <w:t xml:space="preserve">2. </w:t>
      </w:r>
      <w:r>
        <w:rPr>
          <w:rFonts w:ascii="Calibri" w:hAnsi="Calibri"/>
          <w:b w:val="0"/>
          <w:color w:val="3A4A28"/>
          <w:sz w:val="20"/>
        </w:rPr>
        <w:t>Authorization of 50 billion shares creates virtually unlimited dilution risk — share count already increased 15,608% YoY, destroying per-share value despite underlying asset growth</w:t>
      </w:r>
    </w:p>
    <w:p>
      <w:pPr>
        <w:spacing w:before="40" w:after="40"/>
        <w:ind w:left="283"/>
      </w:pPr>
      <w:r>
        <w:rPr>
          <w:rFonts w:ascii="Calibri" w:hAnsi="Calibri"/>
          <w:b/>
          <w:color w:val="4A6B25"/>
          <w:sz w:val="20"/>
        </w:rPr>
        <w:t xml:space="preserve">3. </w:t>
      </w:r>
      <w:r>
        <w:rPr>
          <w:rFonts w:ascii="Calibri" w:hAnsi="Calibri"/>
          <w:b w:val="0"/>
          <w:color w:val="3A4A28"/>
          <w:sz w:val="20"/>
        </w:rPr>
        <w:t>SEC regulatory action against institutional staking services as unregistered securities could fundamentally undermine BitMine's $230M annualized staking revenue model and force operational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BitMine's core business — holding and staking Ethereum — is not directly threatened by AI substitution. Ethereum staking is a protocol-level activity that requires capital and infrastructure, not human expertise that AI could replace. The company's MAVAN staking infrastructure involves specialized hardware and network operations that are physically grounded [1]. However, AI-driven improvements in DeFi protocols could reduce the need for intermediary staking platforms like MAVAN, and smart contract automation may compress margins in institutional staking services. The company is neither immune nor highly vulnerable — the primary risk driver is crypto prices, not AI disruption. AI Opportunity (0/1): No AI revenue. BitMine does not generate revenue from AI products or services, and AI is not deployed in any revenue-generating capacity within the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BitMine Immersion Technologies Q3 2026 Earnings — Revenue $46.5M, operating profit $9.3M, net loss $83.6M; MAVAN 4.7M ETH staked, QuiverQuantitative/Simply Wall St, July 2026</w:t>
      </w:r>
    </w:p>
    <w:p>
      <w:pPr>
        <w:spacing w:before="20" w:after="20"/>
        <w:ind w:left="170"/>
      </w:pPr>
      <w:r>
        <w:rPr>
          <w:rFonts w:ascii="Calibri" w:hAnsi="Calibri"/>
          <w:b/>
          <w:color w:val="4A6B25"/>
          <w:sz w:val="15"/>
        </w:rPr>
        <w:t xml:space="preserve">2. </w:t>
      </w:r>
      <w:r>
        <w:rPr>
          <w:rFonts w:ascii="Calibri" w:hAnsi="Calibri"/>
          <w:b w:val="0"/>
          <w:color w:val="3A4A28"/>
          <w:sz w:val="17"/>
        </w:rPr>
        <w:t>BitMine Governance and Leadership — CEO Chi Tsang appointment, 3 board resignations, shareholder meeting issues, Tom Lee chairmanship, CoinDesk/Nasdaq/BTCC, November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BMNR key statistics: stock price $18.09, market cap $10.9B, D/E 0.0%, ROE -150.91%, shares +15,608% YoY, Forward P/E 45.23,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