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BMRN</w:t>
      </w:r>
      <w:r>
        <w:rPr>
          <w:rFonts w:ascii="Calibri" w:hAnsi="Calibri"/>
          <w:b/>
          <w:color w:val="1A2010"/>
          <w:sz w:val="40"/>
        </w:rPr>
        <w:t xml:space="preserve">  BioMarin Pharmaceutical Inc.</w:t>
      </w:r>
    </w:p>
    <w:p>
      <w:pPr>
        <w:spacing w:after="120"/>
      </w:pPr>
      <w:r>
        <w:rPr>
          <w:rFonts w:ascii="Calibri" w:hAnsi="Calibri"/>
          <w:b/>
          <w:color w:val="6E8450"/>
          <w:sz w:val="18"/>
        </w:rPr>
        <w:t>GROWTH SLEEVE · 2026-07-14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BioMarin Pharmaceutical Inc. is a global biotechnology company dedicated to transforming lives through genetic discovery, developing and commercializing targeted therapies that address the root cause of rare genetic conditions. The company markets eight approved therapies including Voxzogo (achondroplasia), Naglazyme, Vimizim, Brineura, Palynziq, Aldurazyme, and the recently acquired GALAFOLD and POMBILITI+OPFOLDA from the $4.8B Amicus Therapeutics acquisition. BioMarin has produced six first-in-disease drugs across its 28-year history.</w:t>
      </w:r>
    </w:p>
    <w:p>
      <w:r>
        <w:rPr>
          <w:rFonts w:ascii="Calibri" w:hAnsi="Calibri"/>
          <w:b/>
          <w:color w:val="6E8450"/>
          <w:sz w:val="18"/>
        </w:rPr>
        <w:t>3,220 Employees · https://www.biomarin.com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BioMarin has delivered multiple successful product launches and a transformative acquisition in the last five years. Voxzogo, approved for achondroplasia, grew to $920M in 2025 revenue and received FDA approval for expansion to children under 5 in 2023 [1][2]. The $4.8B acquisition of Amicus Therapeutics (closed Q1 2026) added GALAFOLD and POMBILITI+OPFOLDA to the portfolio, transforming BioMarin's revenue profile — full-year 2026 guidance was raised to $3.825-$3.925B representing 20% growth [1][3]. The $270M acquisition of Inozyme (BMN 401) for ENPP1 deficiency added another first-in-disease candidate [3]. Six of the company's eight approved drugs were first-in-disease, an extraordinary track record of creating new therapeutic categories. AI Deployment (0/2): No evidence of AI-powered products shipping to patients or quantified AI-driven operational savings. Former BioMarin executives formed Mendra, an AI-focused rare disease biotech, but this is a separate company [4]. BioMarin itself has not reported meaningful AI deployment. Market Share (2/2): Dominant position in rare disease enzyme therapies. Voxzogo is the only approved treatment for achondroplasia globally. With the Amicus acquisition, BioMarin becomes the preeminent rare disease enzyme therapy company, with orphan drug designations providing regulatory exclusivity across multiple indications [1][3]. Product Pipeline (2/2): Robust pipeline with specific timelines — Voxzogo pivotal trial data in hypochondroplasia expected mid-2026, BMN 333 (gene therapy) early results presented at ENDO 2026, BMN 401 for ENPP1 deficiency in clinical development, and the Amicus integration adding new pipeline assets [5][6]. Management expects over 55% of 2026 revenue in H2, providing clear near-term visibility. R&amp;D Intensity (1/1): BioMarin historically invests approximately 30-35% of revenue in R&amp;D, significantly above the biotech industry average and well into top-quartile territory for the healthcare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BioMarin's mission to "translate the promise of genetic discovery into medicines that make a profound impact on the life of each patient" is specific, deeply intentional, and clearly differentiating [7]. The mission connects the company's work to a larger purpose — treating genetic diseases that affect tiny patient populations whom other companies have ignored. CEO Alexander Hardy explicitly states that "to lose sight of delivering to patients in need is to lose sight of the company," and strategic decisions clearly trace back to this purpose — the focus on rare diseases, six first-in-disease drugs, and willingness to invest in ultra-rare conditions all reflect genuine mission alignment [4]. The slight deduction from a 4 is that Hardy is relatively new (joined from Genentech) and the mission has not yet been tested through the kind of multi-decade, multi-leadership validation that earns the maximum score. Community Impact (1/2): BioMarin operates patient access and advocacy programs for rare disease communities, connecting with patient families globally. However, no specific evidence of major charitable foundation activities, community investment programs, or quantified dollar amounts in philanthropic giving was found in research [7]. Employee Retention (0/2): No specific retention data, voluntary turnover rates, or average tenure information available for BioMarin's 3,220 employees. Insufficient evidence to score. Insider Buying (0/2): Net insider selling over the past six months — 0 purchases and 3 sales. EVP/Chief Legal Officer George Eric Davis sold 26,061 shares for $1.6M and EVP/CTO Charles Greg Guyer sold 16,486 shares for $997K [8]. CEO Hardy received equity grants (89,200 options and 62,440 RSUs in March 2026) but no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BioMarin delivered FY2025 revenue of $3.221B (up 12.87% YoY) and raised 2026 guidance to $3.825-$3.925B representing 20% growth at the midpoint, driven by the Amicus acquisition and continued Voxzogo momentum [1]. The forward P/E of 11.88 is well below the 20 target and the forward PEG of 0.73 indicates the stock is undervalued relative to expected growth — this reflects the market pricing in Amicus integration risk and broader biotech sector headwinds that have driven the stock from $90+ to $59 [9]. Debt-to-equity of 23.17% is conservative for a company that just completed a $4.8B acquisition, reflecting $2.22B in cash and prudent balance sheet management [9]. The primary weakness is profitability — ROE of 4.48% is well below the 15% target and net profit margin of 8.29% is below the 20% target, reflecting BioMarin's heavy R&amp;D investment ($30%+ of revenue) and the Q1 2026 charge from an unsuccessful Naglazyme manufacturing process qualification [1]. The 5-year revenue CAGR of approximately 12% exceeds the 10% target. Liquidity floor check: avg daily volume (2,030,000) x stock price ($59.08) = $119.9M &gt;&gt;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BioMarin exhibits strong infinite game characteristics rooted in its genuine commitment to rare disease patients. The company has repeatedly made courageous, costly long-term bets — investing billions in gene therapy, pricing ROCTAVIAN at $2.9M based on long-term patient value, and spending 30%+ of revenue on R&amp;D when investors demanded profitability. The Just Cause of translating genetic discovery into medicines that transform patients' lives has driven consistent strategic decisions across leadership transitions. The primary limitation is that BioMarin's history as an independent company (founded 1997) is not yet multi-generational, and CEO Hardy's tenure is still relatively recent.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BioMarin's purpose — translating genetic discovery into medicines that profoundly impact patients' lives — meets Sinek's criteria for a Just Cause: it is resilient (endures beyond any single drug), inclusive (invites scientific and patient community participation), service-oriented (focused on patients with rare diseases who have few alternatives), idealistic (a future where all genetic diseases have treatments), and big (can never be fully achieved given the thousands of known genetic conditions) [7]. The purpose has guided consistent strategic decisions — focusing exclusively on rare diseases when the market rewarded scale, developing six first-in-disease drugs, and investing 30%+ of revenue in R&amp;D. CEO Hardy explicitly frames all decisions through the patient lens. However, BioMarin was founded in 1997 and has had one major CEO transition (Bienaime to Hardy). The purpose has not been tested through the kind of multi-decade, multi-crisis, multi-leadership validation that earns a perfect score. Strong but not yet canonical.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BioMarin's scientific culture values innovation, collaboration, and learning from failure — CEO Hardy has specifically emphasized creating a culture of "calculated risk taking" and learning from unsuccessful experiments [4]. The company's 3,220 employees operate in a specialized environment where scientific expertise creates natural empowerment. The CEO transition from Jean-Jacques Bienaime to Alexander Hardy was orderly and did not disrupt organizational stability. However, no specific employee retention metrics, voluntary turnover data, or cultural survey results were found. For a biotech company of this size, the culture appears adequate but not exceptionally distinctive. The Q1 2026 Naglazyme manufacturing process failure suggests openness to experimentation, which can indicate psychological safety around failure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BioMarin's competitive approach exemplifies the infinite mindset — the company creates new markets rather than fighting for existing ones. With six first-in-disease drugs, BioMarin's strategy is to go where no one else will: ultra-rare genetic conditions with no existing treatments [3][7]. The competitive language focuses on innovating for patients and being "first" in unmet medical needs, not on defeating specific competitors. The $4.8B Amicus acquisition was framed as expanding rare disease capabilities, not eliminating a rival. This approach of creating rather than competing reflects the infinite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BioMarin has evolved meaningfully over its history — from a single-product enzyme replacement company (Aldurazyme) to a multi-product rare disease platform spanning enzyme therapies, substrate reduction therapy (Palynziq), and gene therapy (ROCTAVIAN) [3]. The $4.8B Amicus acquisition represents another strategic evolution, significantly expanding the company's scale and therapeutic breadth. However, BioMarin has consistently stayed within the rare disease domain — it has never made a cross-industry or cross-category pivot. The evolution is more "become the definitive rare disease company" than "blow up the business model." Earned credit for meaningful strategic evolution within its domain.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BioMarin has demonstrated a clear pattern of courageous, costly long-term bets in service of its mission [1][3]. The company invested billions in ROCTAVIAN gene therapy for hemophilia A over more than a decade, continuing investment through disappointing early clinical results and analyst skepticism, ultimately achieving FDA approval and pricing the therapy at $2.9M per patient — one of the most expensive drugs ever — based on long-term patient value rather than short-term market acceptance. The $4.8B Amicus acquisition was the largest in company history, made during a period of biotech sector weakness when BMRN stock had declined significantly. BioMarin has consistently invested 30%+ of revenue in R&amp;D when Wall Street and activist investors have pushed for profitability and margin expansion. CEO Hardy's stated philosophy — that genuine innovation for patients will ultimately drive shareholder returns — reflects choosing long-term mission over short-term earnings optimization. This is a company that repeatedly chooses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BioMarin is a rare disease powerhouse trading at a compelling valuation — forward P/E of 11.88 and forward PEG of 0.73 — following the transformative $4.8B Amicus Therapeutics acquisition that raised 2026 revenue guidance to $3.825-$3.925B, representing 20% growth at the midpoint [1]. The company's competitive advantages are formidable: six first-in-disease drugs, orphan drug exclusivity providing 7-10 years of regulatory protection per indication, and Voxzogo as the only approved treatment for achondroplasia with $920M in 2025 sales still growing as it expands into children under 5 and hypochondroplasia [5][6]. The Amicus integration adds GALAFOLD (Fabry disease, $500M+ annualized) and POMBILITI+OPFOLDA (Pompe disease) with meaningful cross-selling synergies through BioMarin's existing rare disease commercial infrastructure. The pipeline includes Voxzogo hypochondroplasia pivotal data expected mid-2026, BMN 333 gene therapy early results, and BMN 401 for ENPP1 deficiency [6]. With debt-to-equity of only 23.17% and $2.22B in cash despite the $4.8B acquisition, the balance sheet supports continued investment in R&amp;D at 30%+ of revenue.</w:t>
      </w:r>
    </w:p>
    <w:p>
      <w:pPr>
        <w:spacing w:after="120"/>
      </w:pPr>
      <w:r>
        <w:rPr>
          <w:rFonts w:ascii="Calibri" w:hAnsi="Calibri"/>
          <w:b w:val="0"/>
          <w:color w:val="3A4A28"/>
          <w:sz w:val="20"/>
        </w:rPr>
        <w:t>The bear case centers on execution risk from the largest acquisition in BioMarin's history during a period of biotech sector weakness. The stock has declined from $90+ to $59, reflecting market skepticism about the Amicus integration — Q1 2026 EPS of $0.76 missed estimates of $0.91 by 16.9%, partly due to a $31M charge from an unsuccessful Naglazyme manufacturing process qualification and pre-close Amicus transaction costs [1]. ROE of 4.48% and net profit margin of 8.29% remain below peer averages, as BioMarin continues to prioritize R&amp;D investment over near-term profitability. The trailing P/E of 42.53 (versus forward P/E of 11.88) indicates that current earnings do not yet reflect the Amicus revenue contribution, creating a period of uncertainty until the combined entity's profitability normalizes. Drug pricing remains a structural risk — BioMarin's therapies carry annual list prices ranging from $375K (Vimizim) to $2.9M (ROCTAVIAN), making the company vulnerable to pricing reform legislation, international reference pricing, and payer pushback [10]. Concentration risk in rare diseases means any clinical setback (particularly in the Voxzogo hypochondroplasia pivotal trial expected mid-2026) or regulatory issue could disproportionately impact the stock given the limited number of revenue drivers.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Voxzogo hypochondroplasia pivotal trial topline data expected mid-2026 — a positive result would significantly expand the addressable patient population and could drive Voxzogo beyond $2B in peak annual sales</w:t>
      </w:r>
    </w:p>
    <w:p>
      <w:pPr>
        <w:spacing w:before="40" w:after="40"/>
        <w:ind w:left="283"/>
      </w:pPr>
      <w:r>
        <w:rPr>
          <w:rFonts w:ascii="Calibri" w:hAnsi="Calibri"/>
          <w:b/>
          <w:color w:val="4A6B25"/>
          <w:sz w:val="20"/>
        </w:rPr>
        <w:t xml:space="preserve">2. </w:t>
      </w:r>
      <w:r>
        <w:rPr>
          <w:rFonts w:ascii="Calibri" w:hAnsi="Calibri"/>
          <w:b w:val="0"/>
          <w:color w:val="3A4A28"/>
          <w:sz w:val="20"/>
        </w:rPr>
        <w:t>Full-year contribution from the Amicus acquisition beginning Q2 2026, with management expecting over 55% of 2026 revenue and the majority of EPS in the second half, which should normalize earnings and compress the trailing P/E from 42.53 toward the 11.88 forward P/E</w:t>
      </w:r>
    </w:p>
    <w:p>
      <w:pPr>
        <w:spacing w:before="40" w:after="40"/>
        <w:ind w:left="283"/>
      </w:pPr>
      <w:r>
        <w:rPr>
          <w:rFonts w:ascii="Calibri" w:hAnsi="Calibri"/>
          <w:b/>
          <w:color w:val="4A6B25"/>
          <w:sz w:val="20"/>
        </w:rPr>
        <w:t xml:space="preserve">3. </w:t>
      </w:r>
      <w:r>
        <w:rPr>
          <w:rFonts w:ascii="Calibri" w:hAnsi="Calibri"/>
          <w:b w:val="0"/>
          <w:color w:val="3A4A28"/>
          <w:sz w:val="20"/>
        </w:rPr>
        <w:t>Realization of Amicus integration synergies through BioMarin's global rare disease commercial infrastructure, with cross-selling opportunities for GALAFOLD and POMBILITI+OPFOLDA to BioMarin's existing physician and patient network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the $4.8B Amicus acquisition — BioMarin's largest-ever deal — during a period of biotech sector weakness, with Q1 2026 EPS already missing estimates by 16.9% due to transaction costs and manufacturing charges</w:t>
      </w:r>
    </w:p>
    <w:p>
      <w:pPr>
        <w:spacing w:before="40" w:after="40"/>
        <w:ind w:left="283"/>
      </w:pPr>
      <w:r>
        <w:rPr>
          <w:rFonts w:ascii="Calibri" w:hAnsi="Calibri"/>
          <w:b/>
          <w:color w:val="4A6B25"/>
          <w:sz w:val="20"/>
        </w:rPr>
        <w:t xml:space="preserve">2. </w:t>
      </w:r>
      <w:r>
        <w:rPr>
          <w:rFonts w:ascii="Calibri" w:hAnsi="Calibri"/>
          <w:b w:val="0"/>
          <w:color w:val="3A4A28"/>
          <w:sz w:val="20"/>
        </w:rPr>
        <w:t>Drug pricing and reimbursement pressure across the rare disease portfolio, where annual list prices range from $375K to $2.9M per patient, making BioMarin a target for pricing reform legislation, international reference pricing, and payer pushback on orphan drug economics</w:t>
      </w:r>
    </w:p>
    <w:p>
      <w:pPr>
        <w:spacing w:before="40" w:after="40"/>
        <w:ind w:left="283"/>
      </w:pPr>
      <w:r>
        <w:rPr>
          <w:rFonts w:ascii="Calibri" w:hAnsi="Calibri"/>
          <w:b/>
          <w:color w:val="4A6B25"/>
          <w:sz w:val="20"/>
        </w:rPr>
        <w:t xml:space="preserve">3. </w:t>
      </w:r>
      <w:r>
        <w:rPr>
          <w:rFonts w:ascii="Calibri" w:hAnsi="Calibri"/>
          <w:b w:val="0"/>
          <w:color w:val="3A4A28"/>
          <w:sz w:val="20"/>
        </w:rPr>
        <w:t>Clinical pipeline concentration risk — a negative outcome in the Voxzogo hypochondroplasia pivotal trial (data expected mid-2026) would significantly reduce the growth narrative and addressable market expansion thesis underpinning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BioMarin's core business — developing, manufacturing, and commercializing biologic therapies for rare genetic diseases — is structurally immune to AI disruption [1][3]. The company's products are complex biological molecules (enzyme replacement therapies, gene therapies) that require decades of clinical research, FDA approval with orphan drug exclusivity, specialized biologic manufacturing facilities, and deep expertise in ultra-rare patient populations. AI cannot manufacture recombinant enzymes, navigate Phase III clinical trials, or treat genetic conditions like achondroplasia or mucopolysaccharidosis. The regulatory moat is enormous — orphan drug designations provide 7-10 years of market exclusivity, and biosimilar competition faces significant technical barriers in rare disease biologics. If anything, AI may benefit BioMarin by accelerating drug discovery timelines and improving clinical trial design for rare disease candidate identification. The company is among the most AI-immune businesses in the public markets. The slight deduction from 9 reflects the theoretical risk that AI-accelerated drug discovery competitors could develop competing rare disease therapies faster, though BioMarin's existing pipeline, patient relationships, and regulatory protections make this a distant concern. AI Opportunity (0/1): BioMarin does not generate revenue from AI products or services. While AI-driven drug discovery is a growing field — notably, former BioMarin executives launched Mendra with $82M to pursue AI-accelerated rare disease development [4] — BioMarin itself has not reported quantifiable AI revenue or specific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BioMarin Q1 2026 Earnings Release and Financial Results — investors.biomarin.com, May 4, 2026</w:t>
      </w:r>
    </w:p>
    <w:p>
      <w:pPr>
        <w:spacing w:before="20" w:after="20"/>
        <w:ind w:left="170"/>
      </w:pPr>
      <w:r>
        <w:rPr>
          <w:rFonts w:ascii="Calibri" w:hAnsi="Calibri"/>
          <w:b/>
          <w:color w:val="4A6B25"/>
          <w:sz w:val="15"/>
        </w:rPr>
        <w:t xml:space="preserve">2. </w:t>
      </w:r>
      <w:r>
        <w:rPr>
          <w:rFonts w:ascii="Calibri" w:hAnsi="Calibri"/>
          <w:b w:val="0"/>
          <w:color w:val="3A4A28"/>
          <w:sz w:val="17"/>
        </w:rPr>
        <w:t>BioMarin FY2025 Results and Revenue History — MacroTrends, StockAnalysis,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BioMarin Amicus Therapeutics $4.8B Acquisition — FiercePharma, MedCity News, December 2025</w:t>
      </w:r>
    </w:p>
    <w:p>
      <w:pPr>
        <w:spacing w:before="20" w:after="20"/>
        <w:ind w:left="170"/>
      </w:pPr>
      <w:r>
        <w:rPr>
          <w:rFonts w:ascii="Calibri" w:hAnsi="Calibri"/>
          <w:b/>
          <w:color w:val="4A6B25"/>
          <w:sz w:val="15"/>
        </w:rPr>
        <w:t xml:space="preserve">4. </w:t>
      </w:r>
      <w:r>
        <w:rPr>
          <w:rFonts w:ascii="Calibri" w:hAnsi="Calibri"/>
          <w:b w:val="0"/>
          <w:color w:val="3A4A28"/>
          <w:sz w:val="17"/>
        </w:rPr>
        <w:t>Alexander Hardy CEO Profile and BioMarin Leadership Culture — Michigan Ross, BioPharma Dive, PharmaVoice, 2024-2026</w:t>
      </w:r>
    </w:p>
    <w:p>
      <w:pPr>
        <w:spacing w:before="20" w:after="20"/>
        <w:ind w:left="170"/>
      </w:pPr>
      <w:r>
        <w:rPr>
          <w:rFonts w:ascii="Calibri" w:hAnsi="Calibri"/>
          <w:b/>
          <w:color w:val="4A6B25"/>
          <w:sz w:val="15"/>
        </w:rPr>
        <w:t xml:space="preserve">5. </w:t>
      </w:r>
      <w:r>
        <w:rPr>
          <w:rFonts w:ascii="Calibri" w:hAnsi="Calibri"/>
          <w:b w:val="0"/>
          <w:color w:val="3A4A28"/>
          <w:sz w:val="17"/>
        </w:rPr>
        <w:t>BioMarin Voxzogo Achondroplasia and Pipeline Data — investors.biomarin.com, PRNewswire, 2023-2026</w:t>
      </w:r>
    </w:p>
    <w:p>
      <w:pPr>
        <w:spacing w:before="20" w:after="20"/>
        <w:ind w:left="170"/>
      </w:pPr>
      <w:r>
        <w:rPr>
          <w:rFonts w:ascii="Calibri" w:hAnsi="Calibri"/>
          <w:b/>
          <w:color w:val="4A6B25"/>
          <w:sz w:val="15"/>
        </w:rPr>
        <w:t xml:space="preserve">6. </w:t>
      </w:r>
      <w:r>
        <w:rPr>
          <w:rFonts w:ascii="Calibri" w:hAnsi="Calibri"/>
          <w:b w:val="0"/>
          <w:color w:val="3A4A28"/>
          <w:sz w:val="17"/>
        </w:rPr>
        <w:t>BioMarin BMN 333 and BMN 401 Pipeline Updates — ENDO 2026, Ainvest,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BioMarin Corporate Website — Mission, Values, About Us,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BMRN Insider Trading Activity — MarketBeat, StockTitan SEC Filings, accessed July 2026</w:t>
      </w:r>
    </w:p>
    <w:p>
      <w:pPr>
        <w:spacing w:before="20" w:after="20"/>
        <w:ind w:left="170"/>
      </w:pPr>
      <w:r>
        <w:rPr>
          <w:rFonts w:ascii="Calibri" w:hAnsi="Calibri"/>
          <w:b/>
          <w:color w:val="4A6B25"/>
          <w:sz w:val="15"/>
        </w:rPr>
        <w:t xml:space="preserve">9. </w:t>
      </w:r>
      <w:r>
        <w:rPr>
          <w:rFonts w:ascii="Calibri" w:hAnsi="Calibri"/>
          <w:b w:val="0"/>
          <w:color w:val="3A4A28"/>
          <w:sz w:val="17"/>
        </w:rPr>
        <w:t>Yahoo Finance — BMRN Key Statistics and Financial Data, accessed July 2026</w:t>
      </w:r>
    </w:p>
    <w:p>
      <w:pPr>
        <w:spacing w:before="20" w:after="20"/>
        <w:ind w:left="170"/>
      </w:pPr>
      <w:r>
        <w:rPr>
          <w:rFonts w:ascii="Calibri" w:hAnsi="Calibri"/>
          <w:b/>
          <w:color w:val="4A6B25"/>
          <w:sz w:val="15"/>
        </w:rPr>
        <w:t xml:space="preserve">10. </w:t>
      </w:r>
      <w:r>
        <w:rPr>
          <w:rFonts w:ascii="Calibri" w:hAnsi="Calibri"/>
          <w:b w:val="0"/>
          <w:color w:val="3A4A28"/>
          <w:sz w:val="17"/>
        </w:rPr>
        <w:t>BioMarin Drug Pricing History — Fortune, Forbes, Wikipedia, 2017-2026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