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BNS</w:t>
      </w:r>
      <w:r>
        <w:rPr>
          <w:rFonts w:ascii="Calibri" w:hAnsi="Calibri"/>
          <w:b/>
          <w:color w:val="1A2010"/>
          <w:sz w:val="40"/>
        </w:rPr>
        <w:t xml:space="preserve">  Bank of Nova Scotia</w:t>
      </w:r>
    </w:p>
    <w:p>
      <w:pPr>
        <w:spacing w:after="120"/>
      </w:pPr>
      <w:r>
        <w:rPr>
          <w:rFonts w:ascii="Calibri" w:hAnsi="Calibri"/>
          <w:b/>
          <w:color w:val="6E8450"/>
          <w:sz w:val="18"/>
        </w:rPr>
        <w:t>DIVIDEND SLEEVE · 2026-07-19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The Bank of Nova Scotia (Scotiabank) is one of Canada's Big Five banks and the third-largest by assets, founded in 1832 in Halifax, Nova Scotia and now headquartered in Toronto. It serves over 25 million customers globally through Canadian Banking, International Banking, Global Wealth Management, and Global Banking and Markets segments, with roughly $1.5 trillion in assets. Under CEO Scott Thomson, the bank has been refocusing its historically broad Latin American and Caribbean international footprint toward a North American (Canada-US-Mexico) growth strategy.</w:t>
      </w:r>
    </w:p>
    <w:p>
      <w:r>
        <w:rPr>
          <w:rFonts w:ascii="Calibri" w:hAnsi="Calibri"/>
          <w:b/>
          <w:color w:val="6E8450"/>
          <w:sz w:val="18"/>
        </w:rPr>
        <w:t>88,000 Employees · https://www.scotiabank.com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Scott Thomson, Scotiabank has executed a significant strategic pivot away from its decades-long identity as 'Canada's most international bank,' divesting Colombia, Costa Rica, and Panama operations to Davivienda in 2024 to refocus capital on the North American corridor [1]. AI Deployment (1/2): Scotiabank has built a shared AI environment giving front-line staff and technical teams access to AI tools, with a formal AI risk management policy and data ethics team, but no customer-facing AI product with quantified revenue or cost-savings impact was identified [2]. Market Share (1/2): Scotiabank is the third-largest Canadian bank by assets and deposits, a stable but not gaining position relative to RBC and TD [1]. Product Pipeline (0/2): No specific next-generation customer product was identified with a named launch date. R&amp;D Intensity (0/1): No R&amp;D-as-percent-of-revenue data relative to Canadian bank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Scotiabank's purpose, 'for every future,' connects the bank's work to clients', families', and communities' long-term outcomes and is consistently referenced across its investor and community materials, but it remains a standard, interchangeable large-bank purpose rather than a transformative cause [1]. Community Impact (2/2): ScotiaRISE is a specific, quantified $500 million commitment (through 2030) to advance economic resilience — funding high school and post-secondary participation, newcomer integration, and career-advancement programs for disadvantaged groups [1]. Employee Retention (0/2): No specific tenure or voluntary-turnover data was found to support an above-average retention claim. Insider Buying (0/2): CEO Scott Thomson's most recent disclosed purchase (6,900 shares, ~$499,905) was made in February 2025, more than 12 months before this screen date, so it does not count as recent insider conviction under the evaluation window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(D/E and 5yr revenue CAGR unavailable and excluded). ROE of 11.0% scores 0.74 against the 15% target. Revenue growth YoY of 8% (Q2 2026, to CAD $9.84B) scores 0.93. Forward P/E of 14.8x and profit margin of 27.9% both score a full 1.0. On dividend metrics: payout ratio of 59.6% scores 0.67 against the 40% target; consecutive years paid (~193, unbroken since the first dividend declared July 1, 1833) scores a full 1.0 at 2x weight; consecutive years of dividend growth (~3, since OSFI lifted its pandemic-era dividend freeze in 2023) scores 0.3; and 5yr dividend growth CAGR (~3.5%, depressed by the multi-year freeze) scores 0.58 at 2x weight [1][3]. Liquidity is far above the floor: $89.43 x 3.04M average daily volume ≈ $272M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Scotiabank's 193-year unbroken dividend record and its 2024 decision to walk away from profitable Latin American operations in favor of a North American strategic focus show real infinite-game discipline — willingness to sacrifice near-term diversification and revenue for long-term strategic coherence. The gap to INFINITE is organizational: no evidence of exceptional trust or a distinctively lived Just Cause beyond a standard, if well-funded, purpose statement.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 every future,' backed by the $500 million ScotiaRISE community-investment commitment, is a genuine cause connecting the bank's work to client and community outcomes, and the bank's 193-year operating history demonstrates institutional endurance, but the recent pivot away from decades of Latin American/Caribbean expansion suggests the cause bends to leadership strategy rather than anchoring it with Sinek-level consistency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Scotiabank's AI culture is described as giving front-line and technical staff shared access to AI tools, signaling some empowerment, but a 2025 internal probe led to the firing of two stock analysts and three senior compliance employees for failing to escalate a personal-trading violation — a governance breakdown that cuts against a fully high-trust environment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Available research shows Scotiabank benchmarking itself against RBC, TD, and BMO primarily on ROE and earnings metrics, a largely finite 'catch up and win' framing rather than explicit acknowledgment of what rivals' strengths teach the bank.</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Divesting the Colombia, Costa Rica, and Panama operations to Davivienda in 2024 and abandoning the 'most international bank' identity built over decades in favor of a North American (Canada-US-Mexico) strategy is a genuine, costly reinvention of what kind of bank Scotiabank is, not an incremental tweak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Scott Thomson's decision to exit profitable, decades-established Latin American and Caribbean franchises — giving up in-place revenue and international diversification — to concentrate capital on the North American corridor is a pattern of costly, long-term-focused capital allocation rather than an easy or consensus-driven choice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Scotiabank delivered Q2 2026 net income of $2,632 million (up from $2,032 million a year earlier) with diluted EPS of $2.00 (up 35% YoY), revenue growth of 8% YoY to CAD $9.84 billion, and ROE of 13.2%, tracking toward the bank's 14%+ medium-term objective for fiscal 2027 [1]. Canadian Banking earnings rose 53% YoY and Global Wealth Management earnings rose 19% YoY, evidence that the North American refocusing strategy under CEO Scott Thomson is gaining traction. At 14.8x forward earnings with a 3.56% dividend yield backed by an unbroken 193-year dividend record dating to 1833, BNS offers a durable, moated income profile — banking is a regulated, license-protected business that AI cannot easily disrupt, and the bank has built explicit AI-governance discipline (a data ethics team embedded in its code of conduct) ahead of many peers [1][2].</w:t>
      </w:r>
    </w:p>
    <w:p>
      <w:pPr>
        <w:spacing w:after="120"/>
      </w:pPr>
      <w:r>
        <w:rPr>
          <w:rFonts w:ascii="Calibri" w:hAnsi="Calibri"/>
          <w:b w:val="0"/>
          <w:color w:val="3A4A28"/>
          <w:sz w:val="20"/>
        </w:rPr>
        <w:t>The primary risks are execution and reputational. The 2024 divestment of Colombia, Costa Rica, and Panama concentrates the bank's international exposure in Canada and Mexico, reducing the diversification that once distinguished BNS from domestic-only peers. ROE of 11.0% (trailing) still lags top-tier Canadian bank peers, and the 5-year dividend growth CAGR (~3.5%) has been depressed by the multi-year OSFI-mandated pandemic dividend freeze, meaning real income growth has been modest. A 2025 governance failure — two stock analysts and three compliance staff terminated for failing to escalate a personal-trading violation — and a history of prior AML and commodities-manipulation penalties are reputational overhangs that warrant continued monitoring even though the underlying franchise economics remain strong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ROE trajectory toward the 14%+ medium-term target for fiscal 2027, supported by 53% YoY earnings growth in Canadian Banking and 19% growth in Global Wealth Management</w:t>
      </w:r>
    </w:p>
    <w:p>
      <w:pPr>
        <w:spacing w:before="40" w:after="40"/>
        <w:ind w:left="283"/>
      </w:pPr>
      <w:r>
        <w:rPr>
          <w:rFonts w:ascii="Calibri" w:hAnsi="Calibri"/>
          <w:b/>
          <w:color w:val="4A6B25"/>
          <w:sz w:val="20"/>
        </w:rPr>
        <w:t xml:space="preserve">2. </w:t>
      </w:r>
      <w:r>
        <w:rPr>
          <w:rFonts w:ascii="Calibri" w:hAnsi="Calibri"/>
          <w:b w:val="0"/>
          <w:color w:val="3A4A28"/>
          <w:sz w:val="20"/>
        </w:rPr>
        <w:t>Continued North American strategic focus following the 2024 Latin American divestitures, simplifying the investment case and capital allocation</w:t>
      </w:r>
    </w:p>
    <w:p>
      <w:pPr>
        <w:spacing w:before="40" w:after="40"/>
        <w:ind w:left="283"/>
      </w:pPr>
      <w:r>
        <w:rPr>
          <w:rFonts w:ascii="Calibri" w:hAnsi="Calibri"/>
          <w:b/>
          <w:color w:val="4A6B25"/>
          <w:sz w:val="20"/>
        </w:rPr>
        <w:t xml:space="preserve">3. </w:t>
      </w:r>
      <w:r>
        <w:rPr>
          <w:rFonts w:ascii="Calibri" w:hAnsi="Calibri"/>
          <w:b w:val="0"/>
          <w:color w:val="3A4A28"/>
          <w:sz w:val="20"/>
        </w:rPr>
        <w:t>193-year unbroken dividend record with resumed dividend growth (since the 2023 end of the pandemic-era regulatory freeze) supporting the income thesis for dividend-focused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Reduced geographic diversification following the exit from Colombia, Costa Rica, and Panama, concentrating exposure in Canada and Mexico where macro conditions are correlated</w:t>
      </w:r>
    </w:p>
    <w:p>
      <w:pPr>
        <w:spacing w:before="40" w:after="40"/>
        <w:ind w:left="283"/>
      </w:pPr>
      <w:r>
        <w:rPr>
          <w:rFonts w:ascii="Calibri" w:hAnsi="Calibri"/>
          <w:b/>
          <w:color w:val="4A6B25"/>
          <w:sz w:val="20"/>
        </w:rPr>
        <w:t xml:space="preserve">2. </w:t>
      </w:r>
      <w:r>
        <w:rPr>
          <w:rFonts w:ascii="Calibri" w:hAnsi="Calibri"/>
          <w:b w:val="0"/>
          <w:color w:val="3A4A28"/>
          <w:sz w:val="20"/>
        </w:rPr>
        <w:t>Governance and compliance history — the 2025 analyst/compliance-staff terminations plus a track record of prior AML and commodities-manipulation penalties create ongoing reputational and regulatory risk</w:t>
      </w:r>
    </w:p>
    <w:p>
      <w:pPr>
        <w:spacing w:before="40" w:after="40"/>
        <w:ind w:left="283"/>
      </w:pPr>
      <w:r>
        <w:rPr>
          <w:rFonts w:ascii="Calibri" w:hAnsi="Calibri"/>
          <w:b/>
          <w:color w:val="4A6B25"/>
          <w:sz w:val="20"/>
        </w:rPr>
        <w:t xml:space="preserve">3. </w:t>
      </w:r>
      <w:r>
        <w:rPr>
          <w:rFonts w:ascii="Calibri" w:hAnsi="Calibri"/>
          <w:b w:val="0"/>
          <w:color w:val="3A4A28"/>
          <w:sz w:val="20"/>
        </w:rPr>
        <w:t>Dividend growth still recovering from the multi-year pandemic-era freeze, with a payout ratio of 59.6% limiting near-term acceleration without further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 Scotiabank's core deposit-taking, lending, and wealth-management businesses require a banking license, deposit insurance backing, regulatory capital, and deep customer trust that AI cannot substitute; the bank has also built explicit ethical-AI governance (a data ethics policy and team embedded in its code of conduct, which every employee must attest to annually) that reduces regulatory and reputational AI risk rather than exposing the bank to it [1][2]. Retail lending and payments face incremental pressure from digital-first fintech and AI-powered underwriting, but this is a modest erosion risk against an otherwise heavily moated franchise. AI Opportunity (0/1): AI tools are described as improving efficiency and decision-making internally, but no specific quantified AI-attributable revenue or cost-savings figure was disclosed,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of Nova Scotia Q2 FY2026 Earnings Release and Call Highlights — SEC 6-K filings,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Scotiabank 'For Every Future' / ScotiaRISE community investment and AI culture coverage — scotiabank.com, MIT Sloan Management Review, 2025-2026</w:t>
      </w:r>
    </w:p>
    <w:p>
      <w:pPr>
        <w:spacing w:before="20" w:after="20"/>
        <w:ind w:left="170"/>
      </w:pPr>
      <w:r>
        <w:rPr>
          <w:rFonts w:ascii="Calibri" w:hAnsi="Calibri"/>
          <w:b/>
          <w:color w:val="4A6B25"/>
          <w:sz w:val="15"/>
        </w:rPr>
        <w:t xml:space="preserve">3. </w:t>
      </w:r>
      <w:r>
        <w:rPr>
          <w:rFonts w:ascii="Calibri" w:hAnsi="Calibri"/>
          <w:b w:val="0"/>
          <w:color w:val="3A4A28"/>
          <w:sz w:val="17"/>
        </w:rPr>
        <w:t>Regulatory and governance history — DOJ commodities-manipulation settlement, Federal Reserve AML enforcement closure, 2025 compliance-staff terminations — Globe and Mail, DOJ.gov, ainvest.com,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BNS Key Statistics and Dividend History,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Bank of Nova Scotia dividend history since 1833 — Simply Safe Dividends,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