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w:t>
      </w:r>
      <w:r>
        <w:rPr>
          <w:rFonts w:ascii="Calibri" w:hAnsi="Calibri"/>
          <w:b/>
          <w:color w:val="1A2010"/>
          <w:sz w:val="40"/>
        </w:rPr>
        <w:t xml:space="preserve">  Broadridge Financial Solutions, Inc.</w:t>
      </w:r>
    </w:p>
    <w:p>
      <w:pPr>
        <w:spacing w:after="120"/>
      </w:pPr>
      <w:r>
        <w:rPr>
          <w:rFonts w:ascii="Calibri" w:hAnsi="Calibri"/>
          <w:b/>
          <w:color w:val="6E8450"/>
          <w:sz w:val="18"/>
        </w:rPr>
        <w:t>DIVIDEND SLEEVE · 2026-08-02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Broadridge Financial Solutions is a global fintech leader providing investor communications (proxy processing, annual reports, prospectuses), securities processing, and data-driven technology solutions for banks, broker-dealers, asset managers, wealth managers, and corporate issuers. Spun off from ADP in 2007, the company processes over 80% of U.S. proxy communications, settles approximately $15 trillion in trades daily, and serves over 10,000 public companies with a $17.8B market cap.</w:t>
      </w:r>
    </w:p>
    <w:p>
      <w:r>
        <w:rPr>
          <w:rFonts w:ascii="Calibri" w:hAnsi="Calibri"/>
          <w:b/>
          <w:color w:val="6E8450"/>
          <w:sz w:val="18"/>
        </w:rPr>
        <w:t>15,000 Employees · https://www.broadridge.com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Broadridge executed the transformative $2.5B Itiviti acquisition in 2021, opening an entirely new capital markets trading technology revenue stream, followed by the $173M CQG acquisition in April 2026 further expanding trading capabilities [1]. The company also pioneered blockchain-based proxy voting via DLT, adding distributed ledger technology to its core communications platform. AI Deployment (1/2): Broadridge acquired a minority stake in DeepSee, an agentic AI startup, with President Tom Carey joining DeepSee's board, and published a landmark GenAI study finding AI is 'delivering now' in financial services [3]. BondGPT on the LTX platform is shipping but no quantified AI-specific revenue or cost savings reported. Market Share (2/2): Near-monopoly in U.S. proxy communications, processing over 80% of all proxy distributions — a regulatory-mandated function with extreme switching costs and compliance liability [3]. Processes 7 billion regulatory communications annually for 10,000+ public companies. Product Pipeline (1/2): Pipeline exceeded $1 billion in Q3 FY2026, up 20% YoY, with deal origination up 25% in dollar terms and recurring revenue backlog of $430M, though closed sales guidance was lowered to $240-$290M [1][2]. R&amp;D Intensity (1/1): Technology spending is core to Broadridge's identity, with 27 active AI initiatives, DLT development, and continuous platform modernization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Broadridge's purpose — 'simplifying the complexities of the financial industry to enable better financial lives' — is clear and identifies the company's role, but is functionally descriptive rather than deeply aspirational or distinctive [4]. It is interchangeable with dozens of fintech peers and does not articulate a transformative future state. Community Impact (1/2): General corporate sustainability programs including environmental footprint reduction and ESG reporting. Governor Hochul announced a $78M Broadridge investment to retain 2,200 jobs on Long Island and NYC, demonstrating local economic commitment, though this is business retention rather than philanthropic giving [4]. Employee Retention (1/2): Named one of Ireland's Best Workplaces in Tech 2026 by Great Place to Work Ireland, and CEO Gokey's philosophy of telling new hires not to 'change the world on your first day' reflects long-term cultural stewardship [4]. However, reviews consistently note uneven middle-management execution and variable leadership quality by team and location.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FY2026 delivered $1,954M total revenue (8% YoY growth) with adjusted operating income margin of 21.5% and adjusted EPS of $2.72 (11% YoY growth) [1]. Nine-month free cash flow of $591M represents &gt;100% conversion [1]. ROE of 42.3% far exceeds the 15% target, and Forward P/E of 15.4 is well below the 20 target [5]. D/E of 121% is elevated but manageable at ~1.7x net debt/EBITDA given the recurring-revenue model [3]. Profit margin of 15% is below the 20% target. Dividend metrics are strong: 18 consecutive years of payments and growth since the 2007 ADP spinoff, 2.53% yield, 41.7% payout ratio near the 40% target, and ~11.1% 5-year dividend growth CAGR — nearly double the 6% target [5]. Revenue 5yr CAGR of ~8% approaches the 10% target. Liquidity floor cleared easily: 928K avg volume x $153.95 = $142.8M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Broadridge operates efficiently as a financial infrastructure utility but lacks the transformative vision that defines infinite game players. The company's strategy is driven by acquisitive growth and monopoly position defense rather than a compelling Just Cause. CEO Gokey's steady leadership optimizes for consistent earnings growth and shareholder returns, producing reliable compounding without the costly, principle-driven bets Sinek values most highly.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Broadridge's purpose of 'simplifying complexities of the financial industry' is functional and legitimate but reads as a corporate positioning statement rather than a vision of a better future that inspires sacrifice [4]. It is interchangeable with dozens of fintech peers. Leadership references earnings growth targets, pipeline metrics, and shareholder returns more prominently than purpose in strategic communications. The cause provides operational direction but does not shape behavior in ways that differentiate Broadridge from competitors.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Named Great Place to Work in Ireland 2026, and CEO Gokey's internal promotion from COO reflects organizational trust in talent development [4]. His philosophy of telling new hires not to 'change the world on your first day' signals a culture that values learning and integration. However, reviews consistently note that the values-driven culture from the top coexists with uneven middle-management execution, variable leadership quality across teams and locations, and coordination challenges — indicating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Broadridge's near-monopoly position in proxy communications (80%+ market share) creates minimal competitive pressure, and the company's strategic language emphasizes market dominance, platform consolidation, and infrastructure scale rather than learning from rivals' strengths [2]. The competitive narrative is about extending the franchise through acquisitions (Itiviti, CQG) rather than improving through worthy competition. No evidence of management acknowledging competitors' strengths was found.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Broadridge has evolved meaningfully since its 2007 ADP spinoff — expanding from pure proxy processing into trading technology ($2.5B Itiviti acquisition), capital markets (CQG), wealth management platforms, and blockchain-based DLT capabilities [1]. These moves represent genuine strategic evolution into adjacent markets. However, the changes have been incremental and acquisitive rather than transformative — the core investor communications business remains the foundation, and the company has not abandoned a profitable business line in service of a higher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Gokey pursued the $2.5B Itiviti acquisition to transform Broadridge from a communications utility into a broader fintech platform, committed $78M to retain 2,200 jobs in New York, and maintained pipeline investment (up 20% YoY to &gt;$1B) even while lowering near-term closed sales guidance [1][2]. These represent meaningful strategic commitments. However, with 98% revenue retention, recurring revenue model, and regulatory moats, these investments carry limited relative risk and do not constitute the costly, principle-driven sacrifice that defines a 2-point 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Broadridge delivers consistent, utility-like financial performance backed by regulatory moats — Q3 FY2026 showed $1,954M revenue (8% YoY growth), $2.72 adjusted EPS (11% growth), and $591M nine-month free cash flow with &gt;100% conversion [1]. The company raised full-year guidance to 7%+ recurring revenue growth and 10-12% adjusted EPS growth, while the pipeline surged past $1 billion (up 20% YoY) with deal origination up 25% [2]. At 15.4x forward earnings with a 2.53% dividend yield, 18 consecutive years of dividend growth at an 11.1% CAGR, ROE of 42.3%, and near-monopoly proxy processing market share, BR offers a compelling value proposition as a defensive fintech holding with embedded position growth tailwinds (equity positions +15%, fund positions +6% in Q3) [5].</w:t>
      </w:r>
    </w:p>
    <w:p>
      <w:pPr>
        <w:spacing w:after="120"/>
      </w:pPr>
      <w:r>
        <w:rPr>
          <w:rFonts w:ascii="Calibri" w:hAnsi="Calibri"/>
          <w:b w:val="0"/>
          <w:color w:val="3A4A28"/>
          <w:sz w:val="20"/>
        </w:rPr>
        <w:t>The bear case centers on structural disruption risks that drove a 43% share price decline over 52 weeks: AI potentially eroding technology franchises and tokenized equities disintermediating the governance business [3]. While SouthernSun argues these fears are overstated given regulatory moats and compliance liability, the lowered closed sales guidance ($240-$290M vs. prior $290-$340M) signals sales-cycle elongation. GTO segment recurring revenue grew only 3% in Q3 vs. 8% in ICS, revealing divergent growth trajectories. Profit margin of 15% lags the 20% Infrastructure target, and D/E of 121% with $3.2B total debt against $2.8B equity limits acquisition firepower [1]. The acquisitive growth strategy has inflated goodwill to $3.7B. A low Infinite Game score of 4 reflects the absence of a compelling purpose beyond efficient infrastructure operation, and Inspiration scores at 4 given a functional mission, no identified insider buying, and mixed employee reviews below the C-suite.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Pipeline exceeding $1 billion with 25% higher deal origination and $430M recurring revenue backlog suggests accelerating revenue conversion in FY2027 as larger platform deals close [2]</w:t>
      </w:r>
    </w:p>
    <w:p>
      <w:pPr>
        <w:spacing w:before="40" w:after="40"/>
        <w:ind w:left="283"/>
      </w:pPr>
      <w:r>
        <w:rPr>
          <w:rFonts w:ascii="Calibri" w:hAnsi="Calibri"/>
          <w:b/>
          <w:color w:val="4A6B25"/>
          <w:sz w:val="20"/>
        </w:rPr>
        <w:t xml:space="preserve">2. </w:t>
      </w:r>
      <w:r>
        <w:rPr>
          <w:rFonts w:ascii="Calibri" w:hAnsi="Calibri"/>
          <w:b w:val="0"/>
          <w:color w:val="3A4A28"/>
          <w:sz w:val="20"/>
        </w:rPr>
        <w:t>Equity position growth of 15% and internal trade growth of 16% provide structural tailwinds to recurring communications revenue tied to capital markets activity [1]</w:t>
      </w:r>
    </w:p>
    <w:p>
      <w:pPr>
        <w:spacing w:before="40" w:after="40"/>
        <w:ind w:left="283"/>
      </w:pPr>
      <w:r>
        <w:rPr>
          <w:rFonts w:ascii="Calibri" w:hAnsi="Calibri"/>
          <w:b/>
          <w:color w:val="4A6B25"/>
          <w:sz w:val="20"/>
        </w:rPr>
        <w:t xml:space="preserve">3. </w:t>
      </w:r>
      <w:r>
        <w:rPr>
          <w:rFonts w:ascii="Calibri" w:hAnsi="Calibri"/>
          <w:b w:val="0"/>
          <w:color w:val="3A4A28"/>
          <w:sz w:val="20"/>
        </w:rPr>
        <w:t>CQG acquisition integration and DeepSee AI partnership expanding capital markets and agentic AI capabilities could unlock cross-selling opportunities across the trading technology and investor communications platforms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risk to fund management software and GTO technology services — segment recurring revenue grew only 3% in Q3 vs. 8% in ICS, and analyst concerns contributed to a 43% 52-week share price decline [1][3]</w:t>
      </w:r>
    </w:p>
    <w:p>
      <w:pPr>
        <w:spacing w:before="40" w:after="40"/>
        <w:ind w:left="283"/>
      </w:pPr>
      <w:r>
        <w:rPr>
          <w:rFonts w:ascii="Calibri" w:hAnsi="Calibri"/>
          <w:b/>
          <w:color w:val="4A6B25"/>
          <w:sz w:val="20"/>
        </w:rPr>
        <w:t xml:space="preserve">2. </w:t>
      </w:r>
      <w:r>
        <w:rPr>
          <w:rFonts w:ascii="Calibri" w:hAnsi="Calibri"/>
          <w:b w:val="0"/>
          <w:color w:val="3A4A28"/>
          <w:sz w:val="20"/>
        </w:rPr>
        <w:t>Tokenized equities could fundamentally alter the proxy communications chain if blockchain-native governance bypasses traditional intermediaries, despite current SEC regulatory protections requiring identical governance obligations [3]</w:t>
      </w:r>
    </w:p>
    <w:p>
      <w:pPr>
        <w:spacing w:before="40" w:after="40"/>
        <w:ind w:left="283"/>
      </w:pPr>
      <w:r>
        <w:rPr>
          <w:rFonts w:ascii="Calibri" w:hAnsi="Calibri"/>
          <w:b/>
          <w:color w:val="4A6B25"/>
          <w:sz w:val="20"/>
        </w:rPr>
        <w:t xml:space="preserve">3. </w:t>
      </w:r>
      <w:r>
        <w:rPr>
          <w:rFonts w:ascii="Calibri" w:hAnsi="Calibri"/>
          <w:b w:val="0"/>
          <w:color w:val="3A4A28"/>
          <w:sz w:val="20"/>
        </w:rPr>
        <w:t>Closed sales guidance reduced to $240-$290M from $290-$340M signals sales-cycle elongation that could weigh on FY2027 revenue growth, with larger platform deals extending conversion timelines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Broadridge's core proxy communications business is well-insulated from AI disruption due to SEC-mandated regulatory requirements, extreme switching costs, and compliance liability that prevents clients from internalizing these functions [3]. SouthernSun Asset Management argues these fears are overstated, noting 'clients won't internalize proxy processing due to asymmetric risk-reward dynamics and compliance liability.' However, shares declined 43% over 52 weeks partly on analyst fears that AI will erode technology franchises, and fund management software faces real AI substitution risk [3]. Tokenized equities pose additional disintermediation risk, though the SEC has affirmed tokenized securities carry identical governance obligations. The regulatory moat protects the largest revenue stream, but meaningful exposure in GTO technology services (where recurring revenue grew only 3% in Q3) warrants a PROTECTED rather than IMMUNE rating. AI Opportunity (0/1): No quantified AI revenue reported. BondGPT on LTX and the DeepSee minority investment are exploratory; no AI-powered products generate measurable revenue contribution yet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Broadridge Q3 FY2026 Earnings Release — $1,954M revenue (+8% YoY), $2.72 adjusted EPS (+11%), $591M nine-month FCF; PRNewswire, April 30, 2026</w:t>
      </w:r>
    </w:p>
    <w:p>
      <w:pPr>
        <w:spacing w:before="20" w:after="20"/>
        <w:ind w:left="170"/>
      </w:pPr>
      <w:r>
        <w:rPr>
          <w:rFonts w:ascii="Calibri" w:hAnsi="Calibri"/>
          <w:b/>
          <w:color w:val="4A6B25"/>
          <w:sz w:val="15"/>
        </w:rPr>
        <w:t xml:space="preserve">2. </w:t>
      </w:r>
      <w:r>
        <w:rPr>
          <w:rFonts w:ascii="Calibri" w:hAnsi="Calibri"/>
          <w:b w:val="0"/>
          <w:color w:val="3A4A28"/>
          <w:sz w:val="17"/>
        </w:rPr>
        <w:t>Broadridge FY2026 Q3 Earnings Call — pipeline &gt;$1B (+20% YoY), deal origination +25%, guidance raised; BigGo Finance, April 30, 2026</w:t>
      </w:r>
    </w:p>
    <w:p>
      <w:pPr>
        <w:spacing w:before="20" w:after="20"/>
        <w:ind w:left="170"/>
      </w:pPr>
      <w:r>
        <w:rPr>
          <w:rFonts w:ascii="Calibri" w:hAnsi="Calibri"/>
          <w:b/>
          <w:color w:val="4A6B25"/>
          <w:sz w:val="15"/>
        </w:rPr>
        <w:t xml:space="preserve">3. </w:t>
      </w:r>
      <w:r>
        <w:rPr>
          <w:rFonts w:ascii="Calibri" w:hAnsi="Calibri"/>
          <w:b w:val="0"/>
          <w:color w:val="3A4A28"/>
          <w:sz w:val="17"/>
        </w:rPr>
        <w:t>SouthernSun Asset Management / Insider Monkey — BR AI and tokenization risk analysis, 52-week -43% decline, SEC tokenization ruling; July 2026</w:t>
      </w:r>
    </w:p>
    <w:p>
      <w:pPr>
        <w:spacing w:before="20" w:after="20"/>
        <w:ind w:left="170"/>
      </w:pPr>
      <w:r>
        <w:rPr>
          <w:rFonts w:ascii="Calibri" w:hAnsi="Calibri"/>
          <w:b/>
          <w:color w:val="4A6B25"/>
          <w:sz w:val="15"/>
        </w:rPr>
        <w:t xml:space="preserve">4. </w:t>
      </w:r>
      <w:r>
        <w:rPr>
          <w:rFonts w:ascii="Calibri" w:hAnsi="Calibri"/>
          <w:b w:val="0"/>
          <w:color w:val="3A4A28"/>
          <w:sz w:val="17"/>
        </w:rPr>
        <w:t>Broadridge Culture, Leadership, and Sustainability — CEO Gokey philosophy, Great Place to Work Ireland 2026, $78M NY job retention; broadridge.com,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BR key statistics: $153.95 price, 15.43x fwd PE, 42.31% ROE, 121% D/E, 2.53% yield, 927K avg volume;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