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BSX</w:t>
      </w:r>
      <w:r>
        <w:rPr>
          <w:rFonts w:ascii="Calibri" w:hAnsi="Calibri"/>
          <w:b/>
          <w:color w:val="1A2010"/>
          <w:sz w:val="40"/>
        </w:rPr>
        <w:t xml:space="preserve">  Boston Scientific Corporation</w:t>
      </w:r>
    </w:p>
    <w:p>
      <w:pPr>
        <w:spacing w:after="120"/>
      </w:pPr>
      <w:r>
        <w:rPr>
          <w:rFonts w:ascii="Calibri" w:hAnsi="Calibri"/>
          <w:b/>
          <w:color w:val="6E8450"/>
          <w:sz w:val="18"/>
        </w:rPr>
        <w:t>GROWTH SLEEVE · 2026-08-13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NYSE · United States</w:t>
      </w:r>
    </w:p>
    <w:p>
      <w:pPr>
        <w:spacing w:after="80"/>
      </w:pPr>
      <w:r>
        <w:rPr>
          <w:rFonts w:ascii="Calibri" w:hAnsi="Calibri"/>
          <w:b w:val="0"/>
          <w:color w:val="3A4A28"/>
          <w:sz w:val="20"/>
        </w:rPr>
        <w:t>Boston Scientific Corporation is a global medical technology leader that develops, manufactures, and markets minimally invasive medical devices used in interventional medical specialties. Key franchises include FARAPULSE (pulsed field ablation for atrial fibrillation, ~48% U.S. PFA market share in 2026), WATCHMAN (left atrial appendage closure, #1 in LAAC), neuromodulation systems (pain and brain), and coronary/peripheral intervention devices. The company reported Q2 2026 revenue of $5.44B (+7% organic) and FY2025 revenue of $20.1B (+20% YoY). CEO Michael Mahoney led a downward revision of FY2026 guidance to 5-6% organic growth amid WATCHMAN referral declines and EP share loss, while launching a $500M restructuring program and investing in a robust 2027-2029 product pipeline. Market cap approximately $75B.</w:t>
      </w:r>
    </w:p>
    <w:p>
      <w:r>
        <w:rPr>
          <w:rFonts w:ascii="Calibri" w:hAnsi="Calibri"/>
          <w:b/>
          <w:color w:val="6E8450"/>
          <w:sz w:val="18"/>
        </w:rPr>
        <w:t>48,000 Employees · https://www.bostonscientific.com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Boston Scientific has executed multiple successful product launches and a company-transforming diversification over the last five years. FARAPULSE pulsed field ablation (acquired and scaled to ~48% U.S. PFA market share) redefined atrial fibrillation treatment [4]. The $3.4B Silk Road Medical acquisition brought TCAR (transcarotid artery revascularization). WATCHMAN FLX achieved $535M in Q4 2024 sales (+29.4% YoY) [4]. Neuromodulation grew 12% in Q2 2026 with double-digit growth in both pain and brain segments [1]. These collectively transformed BSX from a coronary-focused device company into a diversified medtech platform. AI Deployment (0/2): Boston Scientific has launched an AI Academy and is embedding AI capabilities into internal training, but no AI-powered products are shipping to customers and no specific AI-driven cost savings have been quantified [3]. Market Share (2/2): BSX holds #1 or #2 positions in multiple medical device categories. FARAPULSE commands ~48% of the U.S. PFA market in 2026, maintaining leadership despite emerging competition [4]. WATCHMAN is the dominant LAAC device. Interventional Cardiology grew 15% in Q2 2026 with double-digit coronary therapy gains [1]. Product Pipeline (1/2): The company has a robust pipeline of new products due to launch 2027-2029, reinforced by the $500M restructuring freeing capital for R&amp;D. However, specific next-gen product names with launch dates and revenue visibility are limited in public disclosures [1]. R&amp;D Intensity (1/1): BSX's R&amp;D spend is above medtech industry average, consistent with a company generating $21B in revenue while maintaining a continuous cadence of device innovation and regulatory submissions.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Boston Scientific's purpose — 'Advancing science for life' — is specific, thoughtful, and connects the company's medical device innovation to improving patient outcomes globally [3]. The mission has guided decades of consistent R&amp;D investment and acquisition strategy, from coronary stents through pulsed field ablation to neuromodulation. It differentiates from generic 'shareholder value' statements and is clearly reflected in strategic decisions. However, the recent restructuring and guidance cut introduce finite-game pressure that tempers the mission's primacy. Community Impact (1/2): BSX has been named one of America's Most Just Companies by Forbes and Just Capital, has a dedicated VP of ESG (Kathryn Unger), and incorporates an ESG scorecard modifier in executive compensation [3]. However, specific charitable giving dollar amounts or distinctive community investment programs were not identified. Employee Retention (1/2): CEO Michael Mahoney holds a 99% Glassdoor approval rating, and BSX was named a Culture Champion by MIT Sloan Management Review and Glassdoor Culture 500. The culture is described as 'very innovative and supportive' with approachable leadership [3]. However, specific tenure or turnover data is not publicly available, and the matrix organizational structure is described as creating silos and bureaucratic friction. Insider Buying (2/2): CEO Mahoney purchased 186,240 shares for approximately $9-10M at $48.34/share on August 3, 2026, following a 54% stock decline — one of the largest individual insider purchases across the market in 2026 [5]. This represents a 13% expansion of his total equity position to ~1.6 million shares valued at $78M, demonstrating exceptional conviction in the long-term story.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Boston Scientific demonstrates strong fundamentals across nearly all infrastructure dimensions [2]. D/E of 50.1% ($12.6B debt / $25.2B equity) is well below the 70% target, scoring 1.0. ROE of 14.6% ($3.67B TTM net income / $25.2B equity) is just below the 15% target, scoring 0.97 with 2x weight. Revenue growth YoY of 13.5% (TTM) exceeds the 10% target, scoring 1.0. The 5-year revenue CAGR of 14.1% ($11.9B to $20.1B, FY2021-FY2025) also exceeds the 10% target with 2x weight [2]. Forward P/E of 15.59 is well below the 20 target. Profit margin of 14.41% is the main drag, scoring 0.72 against the 20% target. PEG ratio excluded (unavailable). Liquidity is exceptional at ~$1.06B daily dollar volume (20.7M shares x $51.42). The stock declined 53% from its 52-week high of $109.50, reflecting the Q2 2026 guidance cut rather than fundamental deterioration in the balance sheet.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Boston Scientific plays a predominantly infinite game — 'Advancing science for life' has guided decades of R&amp;D investment and strategic acquisitions that expanded from coronary stents to a diversified medtech platform. CEO Mahoney's $10M personal stock purchase after a 54% decline demonstrates conviction in the long-term vision over short-term sentiment [5]. However, the Q2 2026 guidance cut, $500M restructuring program, and FARAPULSE market share erosion from 58% to 48% introduce finite-game pressures [1][4]. The company is navigating the tension between infinite aspirations and the quarterly performance demands of a $75B public company.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'Advancing science for life' is a genuine cause that has guided BSX's strategic evolution for decades — from coronary stents through electrophysiology, neuromodulation, and LAAC devices [3]. The cause is validated by consistent R&amp;D investment and acquisitions that advance medical technology (FARAPULSE, Silk Road Medical, WATCHMAN), and it differentiates the company from pure financial-engineering medtech peers. However, the $500M restructuring and WATCHMAN/EP headwinds test whether the cause truly drives decisions when growth decelerates. The cause is partially lived — it shapes acquisitions but hasn't yet survived a genuine existential crisis.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Mahoney's 99% Glassdoor approval rating and BSX's designation as a Culture Champion by MIT Sloan and Glassdoor Culture 500 signal a positive workplace environment [3]. The culture is described as 'very innovative and supportive' with approachable leadership. However, the global multi-division matrix structure creates complexity that can feel siloed and bureaucratic, with cross-functional change dependent on local leadership. The $500M restructuring program will test organizational trust as it involves job eliminations alongside investment in future capabilities.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BSX's competitive language focuses on market share metrics — tracking FARAPULSE share declining from 58% to 48%, WATCHMAN referral trends, and EP competitive dynamics [4]. The framing is about maintaining or regaining 'leadership' and 'share,' which reflects a finite competitive mindset focused on winning rather than learning. No evidence of management publicly acknowledging specific competitors' strengths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Boston Scientific has meaningfully evolved its business model over time — entering electrophysiology (FARAPULSE), left atrial appendage closure (WATCHMAN), neuromodulation, and carotid intervention (Silk Road Medical) beyond its coronary stent origins [1]. This portfolio diversification was incremental through acquisitions rather than a single transformative pivot, but the cumulative effect has redefined the company. The FARAPULSE acquisition was particularly bold — investing in pulsed field ablation technology that disrupts the existing thermal ablation market in which BSX also competed.</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CEO Mahoney demonstrates a pattern of costly long-term bets. The $500M restructuring program — eliminating costs while simultaneously investing in a 2027-2029 product pipeline — accepts near-term earnings dilution for future capability [1]. The FARAPULSE acquisition bet on pulsed field ablation that would cannibalize BSX's own existing thermal ablation revenue. The $3.4B Silk Road Medical acquisition created a new category despite execution risk. Most telling: Mahoney's personal $10M stock purchase at $48.34 after a 54% decline, putting significant personal capital behind his conviction when the market narrative was most negative [5]. This is the Sinek test — acting on the cause when the cost is real and immediate.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Boston Scientific at 15.59x forward earnings represents a compelling entry point for a medtech compounder that delivered 20% revenue growth in FY2025 and 14.1% 5-year revenue CAGR, now trading 53% below its 52-week high after two guidance revisions [2]. The core franchise remains intact: FARAPULSE holds ~48% U.S. PFA market share, WATCHMAN dominates LAAC, Neuromodulation grew 12% in Q2 2026, and Interventional Cardiology grew 15% [1][4]. The $500M restructuring positions the company to expand margins while a robust 2027-2029 product pipeline provides growth visibility. CEO Mahoney's $10M personal stock purchase signals that the insider most knowledgeable about the business sees the selloff as a mispricing [5]. D/E of 50.1% is conservative for medtech, free cash flow of $3.66B provides significant financial flexibility, and 31 analysts maintain a consensus Buy rating with a $62.69 price target (+22%).</w:t>
      </w:r>
    </w:p>
    <w:p>
      <w:pPr>
        <w:spacing w:after="120"/>
      </w:pPr>
      <w:r>
        <w:rPr>
          <w:rFonts w:ascii="Calibri" w:hAnsi="Calibri"/>
          <w:b w:val="0"/>
          <w:color w:val="3A4A28"/>
          <w:sz w:val="20"/>
        </w:rPr>
        <w:t>The bear case centers on decelerating growth and competitive pressures. FY2026 organic growth guidance was cut to 5-6%, a dramatic deceleration from 20% FY2025 growth, with WATCHMAN referrals declining as physicians combine heart procedures (reducing standalone volumes) and FARAPULSE market share eroding from 58% to 48% as competitors enter the PFA market [4]. The $500M restructuring involves execution risk — achieving cost savings while maintaining R&amp;D velocity and organizational morale during headcount reductions. Goodwill of $18.6B (41% of total assets) represents significant acquisition integration risk and potential impairment exposure if growth trajectories disappoint. The Inspire Impact Score of -49 (MISALIGNED) limits allocation for faith-based mandates. At 20.83x trailing earnings, the stock is not inexpensive relative to the decelerated growth trajectory, and any further guidance cuts could compress the multiple toward medtech peers at 15-18x.</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2027-2029 product pipeline launches from recent acquisitions and R&amp;D could reignite double-digit growth, with management describing the pipeline as 'the most robust in company history' following $500M restructuring investment reallocation [1]</w:t>
      </w:r>
    </w:p>
    <w:p>
      <w:pPr>
        <w:spacing w:before="40" w:after="40"/>
        <w:ind w:left="283"/>
      </w:pPr>
      <w:r>
        <w:rPr>
          <w:rFonts w:ascii="Calibri" w:hAnsi="Calibri"/>
          <w:b/>
          <w:color w:val="4A6B25"/>
          <w:sz w:val="20"/>
        </w:rPr>
        <w:t xml:space="preserve">2. </w:t>
      </w:r>
      <w:r>
        <w:rPr>
          <w:rFonts w:ascii="Calibri" w:hAnsi="Calibri"/>
          <w:b w:val="0"/>
          <w:color w:val="3A4A28"/>
          <w:sz w:val="20"/>
        </w:rPr>
        <w:t>FARAPULSE next-generation system and expanded indications (persistent AF, ventricular tachycardia) could stabilize or regain PFA market share from the current ~48%, with BSX reiterating leadership through mid-2027 [4]</w:t>
      </w:r>
    </w:p>
    <w:p>
      <w:pPr>
        <w:spacing w:before="40" w:after="40"/>
        <w:ind w:left="283"/>
      </w:pPr>
      <w:r>
        <w:rPr>
          <w:rFonts w:ascii="Calibri" w:hAnsi="Calibri"/>
          <w:b/>
          <w:color w:val="4A6B25"/>
          <w:sz w:val="20"/>
        </w:rPr>
        <w:t xml:space="preserve">3. </w:t>
      </w:r>
      <w:r>
        <w:rPr>
          <w:rFonts w:ascii="Calibri" w:hAnsi="Calibri"/>
          <w:b w:val="0"/>
          <w:color w:val="3A4A28"/>
          <w:sz w:val="20"/>
        </w:rPr>
        <w:t>Margin expansion from $500M restructuring run-rate savings by 2029 combined with operating leverage on the $21B revenue base could drive adjusted EPS growth acceleration beyond the current 7-8% guided rate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FARAPULSE market share erosion from 58% to 48% as Medtronic PulseSelect and Abbott TactiFlex gain traction in PFA — further share loss could undermine the bull case for BSX's electrophysiology franchise [4]</w:t>
      </w:r>
    </w:p>
    <w:p>
      <w:pPr>
        <w:spacing w:before="40" w:after="40"/>
        <w:ind w:left="283"/>
      </w:pPr>
      <w:r>
        <w:rPr>
          <w:rFonts w:ascii="Calibri" w:hAnsi="Calibri"/>
          <w:b/>
          <w:color w:val="4A6B25"/>
          <w:sz w:val="20"/>
        </w:rPr>
        <w:t xml:space="preserve">2. </w:t>
      </w:r>
      <w:r>
        <w:rPr>
          <w:rFonts w:ascii="Calibri" w:hAnsi="Calibri"/>
          <w:b w:val="0"/>
          <w:color w:val="3A4A28"/>
          <w:sz w:val="20"/>
        </w:rPr>
        <w:t>WATCHMAN referral volume declines as physicians increasingly combine LAAC with other cardiac procedures, reducing standalone volumes and keeping franchise revenue roughly flat through Q3 2026 [4]</w:t>
      </w:r>
    </w:p>
    <w:p>
      <w:pPr>
        <w:spacing w:before="40" w:after="40"/>
        <w:ind w:left="283"/>
      </w:pPr>
      <w:r>
        <w:rPr>
          <w:rFonts w:ascii="Calibri" w:hAnsi="Calibri"/>
          <w:b/>
          <w:color w:val="4A6B25"/>
          <w:sz w:val="20"/>
        </w:rPr>
        <w:t xml:space="preserve">3. </w:t>
      </w:r>
      <w:r>
        <w:rPr>
          <w:rFonts w:ascii="Calibri" w:hAnsi="Calibri"/>
          <w:b w:val="0"/>
          <w:color w:val="3A4A28"/>
          <w:sz w:val="20"/>
        </w:rPr>
        <w:t>Goodwill of $18.6B (41% of total assets) from serial acquisitions creates impairment risk if acquired franchises underperform growth expectations, particularly in the context of decelerated organic growth guidance of 5-6% for FY2026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Boston Scientific's core business — designing, manufacturing, and selling physical medical devices (stents, pacemakers, neurostimulators, ablation catheters, closure devices) — involves heavily FDA-regulated, physically implanted products that AI structurally cannot displace [3]. A FARAPULSE catheter must be physically manufactured and inserted by a physician; a WATCHMAN device must be implanted in the heart. The regulatory environment (FDA 510(k), PMA, clinical trials) creates massive barriers. AI may actually increase demand for BSX products by improving diagnostics and identifying more patients who need interventional procedures. However, AI-powered surgical robotics and digital health tools from competitors could shift procedural dynamics over time. AI Opportunity (0/1): BSX has launched an AI Academy for internal capability building, but no quantified AI-related product revenue has been disclosed. The company's devices are primarily mechanical/electrical rather than software-driven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Boston Scientific Q2 2026 Earnings Release — Revenue $5.44B (+7% Organic), FY2026 Guidance 5-6% Organic Growth, $500M Restructuring, Neuromodulation +12%, July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 BSX Financial Data: Forward P/E 15.59, D/E 50.1%, Revenue TTM $21.0B (+13.5%), 5yr Revenue CAGR 14.1%,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Boston Scientific Corporate Website, ESG Reports, Glassdoor — Mission 'Advancing Science for Life', CEO 99% Approval, Culture Champion, VP ESG,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MedTech Dive, MDDI Online, MassDevice — FARAPULSE ~48% PFA Market Share, WATCHMAN Referral Decline, EP Market Dynamics, 2026</w:t>
      </w:r>
    </w:p>
    <w:p>
      <w:pPr>
        <w:spacing w:before="20" w:after="20"/>
        <w:ind w:left="170"/>
      </w:pPr>
      <w:r>
        <w:rPr>
          <w:rFonts w:ascii="Calibri" w:hAnsi="Calibri"/>
          <w:b/>
          <w:color w:val="4A6B25"/>
          <w:sz w:val="15"/>
        </w:rPr>
        <w:t xml:space="preserve">5. </w:t>
      </w:r>
      <w:r>
        <w:rPr>
          <w:rFonts w:ascii="Calibri" w:hAnsi="Calibri"/>
          <w:b w:val="0"/>
          <w:color w:val="3A4A28"/>
          <w:sz w:val="17"/>
        </w:rPr>
        <w:t>Motley Fool, Yahoo Finance — CEO Michael Mahoney Purchases 186,240 Shares ($9-10M) at $48.34, August 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