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BTGO</w:t>
      </w:r>
      <w:r>
        <w:rPr>
          <w:rFonts w:ascii="Calibri" w:hAnsi="Calibri"/>
          <w:b/>
          <w:color w:val="1A2010"/>
          <w:sz w:val="40"/>
        </w:rPr>
        <w:t xml:space="preserve">  BitGo Holdings, Inc.</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Capital Markets · NYSE · United States</w:t>
      </w:r>
    </w:p>
    <w:p>
      <w:pPr>
        <w:spacing w:after="80"/>
      </w:pPr>
      <w:r>
        <w:rPr>
          <w:rFonts w:ascii="Calibri" w:hAnsi="Calibri"/>
          <w:b w:val="0"/>
          <w:color w:val="3A4A28"/>
          <w:sz w:val="20"/>
        </w:rPr>
        <w:t>Digital asset infrastructure and financial services company providing institutional custody, staking, trading, and stablecoin solutions. First company to commercialize multi-signature wallets and developer of Threshold Signature Scheme (TSS) technology. Serves 4,900+ institutional clients with $100B+ assets under custody. First digital asset infrastructure company on the Fortune 500. IPO in January 2026, founded 2013 by Mike Belshe, headquartered in Sioux Falls, South Dakota.</w:t>
      </w:r>
    </w:p>
    <w:p>
      <w:r>
        <w:rPr>
          <w:rFonts w:ascii="Calibri" w:hAnsi="Calibri"/>
          <w:b/>
          <w:color w:val="6E8450"/>
          <w:sz w:val="18"/>
        </w:rPr>
        <w:t>603 Employees · https://www.bitgo.com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BitGo was the first to commercialize multi-signature wallets (2013) and later developed advanced TSS technology, setting the industry standard for institutional digital asset security [5]. The company became the first digital asset infrastructure company to join the Fortune 500 in 2026, validating the institutional crypto custody market [3]. Revenue scaled from $3.1B (FY2024) to $16.2B (FY2025) through expansion of trading and stablecoin services. However, these are incremental platform extensions rather than transformative business model pivots. AI Deployment (0/2): No AI deployment or strategy disclosed in earnings releases, website, or public communications [5]. Market Share (2/2): Industry leader in institutional digital asset custody with $100B+ assets under custody, $15.6B assets staked, $5B+ stablecoin AUM, and 4,900+ institutional clients [3][5]. First Fortune 500 digital asset infrastructure company — dominant market position in regulated institutional custody. Product Pipeline (1/2): Stablecoin-as-a-Service growing to $5B+ AUM represents a nascent but expanding product line. However, no specific next-generation products announced with timelines [3]. R&amp;D Intensity (0/1): No specific R&amp;D spending data disclosed. As a financial infrastructure company, R&amp;D is not separately reported or prominent relative to operational costs.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BitGo was 'founded on the conviction that digital assets would redefine the global financial system' — a clear and distinctive founding vision that has been validated by 13 years of execution from pre-Bitcoin-mainstream to Fortune 500 [5]. However, this is a market thesis about technology adoption rather than a deeply inspiring human purpose. It identifies what BitGo believes will happen, not a vision of a better future worth sacrificing for. Community Impact (0/2): No evidence of charitable programs, community investment, or philanthropic activity beyond standard corporate operations. Employee Retention (0/2): 603 employees with no publicly available retention data, average tenure, or cultural indicators beyond generic job postings [5]. Insider Buying (0/2): No evidence of meaningful net insider buying by CEO Mike Belshe or other executives in the last 12 months. The stock has declined 80% from its IPO high of $24.50 to $4.97.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322.7% YoY (TTM) is extraordinary but driven primarily by pass-through digital asset sales with gross margins of only 1.12% [2]. The $18.15B TTM revenue masks thin economics — net loss of -$49.72M and profit margin of -0.27% demonstrate the company is not yet profitable despite massive top-line scale [2]. D/E of 33% is conservative, reflecting the $438.84M equity base against $145.54M total debt [2]. ROE of -11.3% underscores the profitability challenge. Cash position of $186.6M provides operating cushion, but $41M net cash is modest relative to the scale of operations. Many key metrics (Forward P/E, PEG, 5yr CAGR) are unavailable due to recent IPO and current unprofitability, limiting infrastructure scoring inputs.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BitGo demonstrates some infinite game qualities through its 13-year commitment to institutional crypto infrastructure through multiple market cycles, but the company's recent trajectory — IPO in January 2026 followed by a securities fraud class action, 80% stock decline, and widening losses — suggests finite game pressures are dominating. The founding vision of digital assets redefining finance is more market prediction than just cause, and the current organizational stress from the lawsuit undermines trust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BitGo's founding conviction that 'digital assets would redefine the global financial system' is a market prediction about technology adoption, not a Sinek-style vision of a better future worth sacrificing for [5]. The company builds infrastructure for crypto markets — necessary plumbing, but not a cause that inspires devotion. The Fortune 500 achievement validates the business thesis but doesn't elevate it to a Just Cause. Sinek would distinguish between 'digital assets will be important' (a prediction) and 'making financial infrastructure secure and accessible for all'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securities class action lawsuit (class period January 2025 to May 2026), alleging materially false statements about business fundamentals, creates significant organizational stress and potential distrust [4]. The stock's 80% decline from $24.50 to $4.97 since IPO erodes employee morale and equity compensation value. Management allegedly created a 'misleading impression that the company was insulated from disclosed crypto price risks' [4]. These conditions make psychological safety and team trust difficult to maintain.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BitGo publicly acknowledging competitors' strengths or using competitive dynamics for self-improvement. The company's communications focus on its own market leadership ($100B+ AUC, Fortune 500 status) rather than what it learns from competitors like Coinbase Custody, Fireblocks, or Anchorage Digital.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BitGo has evolved meaningfully from pure multi-signature custody (2013) to a multi-product platform spanning custody, staking ($15.6B), Stablecoin-as-a-Service ($5B+ AUM), and principal trading ($16.2B revenue) [3][5]. Each expansion represented a significant strategic addition. However, these are incremental platform extensions within the same crypto infrastructure domain rather than transformative pivots to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Founding BitGo in 2013 when institutional crypto was effectively non-existent, building through the 2018 crypto winter and 2022 FTX collapse, and IPO-ing in January 2026 demonstrate long-term commitment through adversity [5]. Mike Belshe's 13-year tenure as CEO through multiple crypto cycles shows persistence. However, the securities fraud allegations raise questions about whether management prioritized market narrative over transparent communication with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BitGo Holdings is the dominant institutional digital asset infrastructure provider with $100B+ in assets under custody, 4,900+ institutional clients, and the distinction of being the first digital asset company on the Fortune 500 [3]. FY2025 revenue of $16.2B (+424% YoY) demonstrates massive platform scale, though this is dominated by thin-margin principal trading rather than high-margin custody and staking services [1]. The $15.6B staking book and $5B+ Stablecoin-as-a-Service AUM represent higher-margin recurring revenue streams with growth potential. Analyst consensus is Strong Buy with a $13.90 price target (+180% upside from $4.97), reflecting conviction in the institutional crypto infrastructure thesis [2].</w:t>
      </w:r>
    </w:p>
    <w:p>
      <w:pPr>
        <w:spacing w:after="120"/>
      </w:pPr>
      <w:r>
        <w:rPr>
          <w:rFonts w:ascii="Calibri" w:hAnsi="Calibri"/>
          <w:b w:val="0"/>
          <w:color w:val="3A4A28"/>
          <w:sz w:val="20"/>
        </w:rPr>
        <w:t>The bear case is material and immediate. An active securities class action lawsuit alleges BitGo made materially false statements about business resilience, with corrective disclosures in March and May 2026 triggering a 15.7% stock decline [4]. FY2025 staking revenue fell 16% YoY and 64% in Q4, contradicting the growth narrative. The company reported a -$14.78M net loss vs. projected $3.2-3.5M profit, a significant miss [4]. The 80% stock decline from $24.50 to $4.97 since IPO reflects severe loss of investor confidence. Q1 2026 GAAP net loss widened to -$60.7M from -$25.7M YoY. The 1.12% gross margin on pass-through trading revenue means meaningful profitability requires a mix shift toward custody and staking that has not yet materialized. Revenue of $3.77B in Q1 2026 was down 39% sequentially, exposing dangerous correlation to crypto market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Mix shift from low-margin principal trading toward high-margin custody fees and staking revenue could dramatically improve profitability — each $1B of staking AUM generates meaningfully higher margins than trading</w:t>
      </w:r>
    </w:p>
    <w:p>
      <w:pPr>
        <w:spacing w:before="40" w:after="40"/>
        <w:ind w:left="283"/>
      </w:pPr>
      <w:r>
        <w:rPr>
          <w:rFonts w:ascii="Calibri" w:hAnsi="Calibri"/>
          <w:b/>
          <w:color w:val="4A6B25"/>
          <w:sz w:val="20"/>
        </w:rPr>
        <w:t xml:space="preserve">2. </w:t>
      </w:r>
      <w:r>
        <w:rPr>
          <w:rFonts w:ascii="Calibri" w:hAnsi="Calibri"/>
          <w:b w:val="0"/>
          <w:color w:val="3A4A28"/>
          <w:sz w:val="20"/>
        </w:rPr>
        <w:t>Stablecoin-as-a-Service platform ($5B+ AUM) is positioned to benefit from regulatory clarity and institutional adoption of regulated stablecoins for payments and settlement</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securities class action lawsuit could remove the stock's legal discount and restore institutional investor confidence in the company's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(class period January 2025 to May 2026) alleging materially false statements creates governance risk, potential financial liability, and management distraction from operations [4]</w:t>
      </w:r>
    </w:p>
    <w:p>
      <w:pPr>
        <w:spacing w:before="40" w:after="40"/>
        <w:ind w:left="283"/>
      </w:pPr>
      <w:r>
        <w:rPr>
          <w:rFonts w:ascii="Calibri" w:hAnsi="Calibri"/>
          <w:b/>
          <w:color w:val="4A6B25"/>
          <w:sz w:val="20"/>
        </w:rPr>
        <w:t xml:space="preserve">2. </w:t>
      </w:r>
      <w:r>
        <w:rPr>
          <w:rFonts w:ascii="Calibri" w:hAnsi="Calibri"/>
          <w:b w:val="0"/>
          <w:color w:val="3A4A28"/>
          <w:sz w:val="20"/>
        </w:rPr>
        <w:t>Revenue correlation to crypto market prices — Q1 2026 revenue declined 39% sequentially due to softer crypto markets, demonstrating that top-line growth is partially outside management's control</w:t>
      </w:r>
    </w:p>
    <w:p>
      <w:pPr>
        <w:spacing w:before="40" w:after="40"/>
        <w:ind w:left="283"/>
      </w:pPr>
      <w:r>
        <w:rPr>
          <w:rFonts w:ascii="Calibri" w:hAnsi="Calibri"/>
          <w:b/>
          <w:color w:val="4A6B25"/>
          <w:sz w:val="20"/>
        </w:rPr>
        <w:t xml:space="preserve">3. </w:t>
      </w:r>
      <w:r>
        <w:rPr>
          <w:rFonts w:ascii="Calibri" w:hAnsi="Calibri"/>
          <w:b w:val="0"/>
          <w:color w:val="3A4A28"/>
          <w:sz w:val="20"/>
        </w:rPr>
        <w:t>1.12% gross margin on dominant trading revenue stream means the company cannot achieve profitability without fundamental revenue mix shift — staking revenue actually declined 16% YoY and 64% in Q4 2025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BitGo's core institutional custody business requires regulatory licenses (state money transmitter, qualified custodian status), multi-signature and TSS cryptographic security infrastructure, cold storage vault operations, and institutional trust built over 13 years — barriers that AI cannot easily replicate [5]. The $100B+ AUC reflects sticky institutional relationships with compliance requirements. However, AI-driven competitors could automate aspects of digital asset portfolio management, trading execution (where BitGo competes via its trading platform), and risk assessment. The staking business faces potential pressure from AI-optimized yield strategies. The extremely thin gross margin (1.12%) on trading operations makes this segment vulnerable to AI-driven execution improvements by competitors. AI Opportunity (0/1): No quantifiable AI-specific revenue reported. The company has not disclosed AI products, AI-driven services, or AI-related efficiency gains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BitGo Holdings FY2025 and Q1 2026 Earnings Releases — $16.2B revenue, $100B+ AUC,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BTGO Financial Overview, Balance Sheet, and Key Statistics,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CryptoNews and Bitcoin Magazine — BitGo Joins Fortune 500 with $16.2B Revenue,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BTGO Securities Class Action Lawsuit, Levi &amp; Korsinsky Alert, July 2026</w:t>
      </w:r>
    </w:p>
    <w:p>
      <w:pPr>
        <w:spacing w:before="20" w:after="20"/>
        <w:ind w:left="170"/>
      </w:pPr>
      <w:r>
        <w:rPr>
          <w:rFonts w:ascii="Calibri" w:hAnsi="Calibri"/>
          <w:b/>
          <w:color w:val="4A6B25"/>
          <w:sz w:val="15"/>
        </w:rPr>
        <w:t xml:space="preserve">5. </w:t>
      </w:r>
      <w:r>
        <w:rPr>
          <w:rFonts w:ascii="Calibri" w:hAnsi="Calibri"/>
          <w:b w:val="0"/>
          <w:color w:val="3A4A28"/>
          <w:sz w:val="17"/>
        </w:rPr>
        <w:t>BitGo About Us, Leadership, and Company History — bitgo.com,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