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BTSG</w:t>
      </w:r>
      <w:r>
        <w:rPr>
          <w:rFonts w:ascii="Calibri" w:hAnsi="Calibri"/>
          <w:b/>
          <w:color w:val="1A2010"/>
          <w:sz w:val="40"/>
        </w:rPr>
        <w:t xml:space="preserve">  BrightSpring Health Services, Inc.</w:t>
      </w:r>
    </w:p>
    <w:p>
      <w:pPr>
        <w:spacing w:after="120"/>
      </w:pPr>
      <w:r>
        <w:rPr>
          <w:rFonts w:ascii="Calibri" w:hAnsi="Calibri"/>
          <w:b/>
          <w:color w:val="6E8450"/>
          <w:sz w:val="18"/>
        </w:rPr>
        <w:t>GROWTH SLEEVE · 2026-07-13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BrightSpring Health Services is one of the nation's largest providers of home- and community-based health services and pharmacy solutions. The company serves more than 475,000 patients daily through approximately 12,400 clinical providers and pharmacists across specialty pharmacy, infusion services, home health, and community living programs. Backed by KKR and Onex Corporation, BrightSpring IPO'd in January 2024. Headquartered in Louisville, Kentucky.</w:t>
      </w:r>
    </w:p>
    <w:p>
      <w:r>
        <w:rPr>
          <w:rFonts w:ascii="Calibri" w:hAnsi="Calibri"/>
          <w:b/>
          <w:color w:val="6E8450"/>
          <w:sz w:val="18"/>
        </w:rPr>
        <w:t>45,000 Employees · https://www.brightspringhealth.com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BrightSpring's primary growth has come through acquisitions and scale expansion in home health and specialty pharmacy rather than product innovation, though the Connected Home care model represents a modest technology-enabled service extension [1][3]. No transformative business model pivots have occurred. AI Deployment (0/2): BrightSpring uses third-party AI tools in hiring processes with humans in the loop, and has implemented automation in pharmacy services, but no customer-facing AI products or quantified AI-driven savings have been disclosed [3]. Market Share (1/2): BrightSpring is one of the largest home health and specialty pharmacy providers in the United States, serving 475,000 patients daily, making it a meaningful player at significant scale but not a dominant category leader in any single service line [1]. Product Pipeline (1/2): The Connected Home care model and ongoing specialty pharmacy and infusion service expansion suggest continued growth, but no specific next-generation offerings with launch dates were identified [1][3]. R&amp;D Intensity (0/1): Healthcare services companies typically invest minimally in R&amp;D. BrightSpring's investment is focused on operational technology and care delivery rather than research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BrightSpring's LEGACY framework and stated focus on providing 'quality and lower-cost outcomes to challenging, high-cost and must service populations' reflects a clear purpose connected to serving vulnerable communities [3]. The mission is more distinctive than generic healthcare boilerplate -- the focus on 'must service' populations who lack alternatives is genuinely purposeful, though it remains to be seen whether PE ownership allows this mission to override financial optimization. Community Impact (1/2): The company's business model inherently serves underserved communities through home health, community living, and pharmacy access for complex patient populations, representing built-in community orientation [3]. Employee Retention (0/2): No specific employee retention or tenure data was available. Healthcare services companies typically face high turnover among direct care workers, and BrightSpring's wage theft lawsuits suggest labor practice challenges [4]. Insider Buying (0/2): Insider activity shows massive selling of $1.73 billion worth of shares in the past three months, reflecting PE sponsors (KKR, Onex) monetizing their investment post-IPO lockup expiry rather than management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D/E excluded due to insufficient reliable data. Revenue growth is the standout: Q1 2026 delivered 25.6% YoY growth to $3.61 billion, and full-year 2026 guidance was raised to $14.73-15.23 billion (14-18% growth), driven by specialty pharmacy and infusion services expansion [1][2]. ROE of 10.1% in FY2025 is improving rapidly (up 8.8 percentage points YoY) as the company scales toward profitability [2]. Forward P/E of 29.5 is elevated but declining as earnings normalize, and PEG of approximately 1.84 reflects the premium valuation relative to growth [5]. The primary weakness is the razor-thin net profit margin of 1.48%, typical of high-revenue healthcare services businesses that generate returns through volume and scale rather than margin expansion [5]. Leverage has improved to 2.27x net debt/EBITDA as of March 2026, down from 3.31x just six months earlier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BrightSpring is fundamentally a PE-backed company playing a finite game by design. KKR and Onex acquired the business to generate returns within a defined investment horizon, and the January 2024 IPO was the exit mechanism -- demonstrated by $1.73 billion in insider selling in recent months as sponsors monetize their stakes. While CEO Jon Rousseau has been in place since 2016 and the LEGACY framework suggests cultural intentionality, the financial engineering (leveraged buyout, rapid acquisition-driven growth, IPO for exit) is textbook finite-game behavior. The business model of consolidating fragmented home health providers is a roll-up strategy optimizing for scale economics, not a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BrightSpring's stated focus on 'must service populations' and the LEGACY framework suggest some purposefulness beyond pure profit maximization [3]. However, the PE ownership structure (KKR/Onex) inherently imposes a finite-horizon return mandate that conflicts with a genuine Just Cause. The company's rapid growth through acquisitions, leverage, and the IPO exit path reads as a financial engineering playbook, not a mission-driven organization. Wage theft lawsuits and concerns about care quality under PE ownership further undermine the authenticity of the stated purpose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low trust in the organization. Wage theft lawsuits and investigations related to labor practices suggest that frontline healthcare workers -- predominantly women of color, per industry reports -- are not operating within a Circle of Safety [4]. Healthcare services companies under PE ownership have been specifically criticized for underpaying and overworking employees to maximize returns. With 45,000+ employees in a high-turnover industry, systemic trust is difficult to maintain, and the lawsuit evidence suggests BrightSpring has not achieved it.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BrightSpring's competitive strategy centers on scale-driven cost advantages and acquisition-led market share gains rather than learning from rivals' strengths. The home health industry is fragmented, and the company's language focuses on market consolidation rather than competitive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BrightSpring is too young as a public company (IPO January 2024) to have demonstrated existential flexibility. The company has grown through acquisitions in home health and specialty pharmacy, which represents consolidation within an existing business model rather than transformative strategic pivots. No evidence of abandoning profitable but misaligned businesses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Jon Rousseau has led BrightSpring since 2016 and navigated the company through the IPO process, taking it public at a time when healthcare services IPOs were out of favor [3]. The decision to raise 2026 guidance twice and invest in specialty pharmacy expansion shows some willingness to reinvest for growth. However, the PE-backed structure inherently prioritizes financial returns over long-term capability building, and no examples of sacrificing near-term earnings for principled long-term investments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BrightSpring delivered outstanding Q1 2026 results with revenue up 25.6% to $3.61 billion and adjusted EBITDA up 44.8% to $190 million, driven by specialty pharmacy and infusion services outperformance [1]. The company raised full-year 2026 guidance to $14.73-15.23 billion in revenue (14-18% growth) and $795-825 million in adjusted EBITDA [1]. Net income surged to $148.6 million from $29.0 million a year earlier, and leverage improved to 2.27x from 3.31x just six months prior [2]. The stock has tripled from its $19 IPO-era low, reflecting rapid earnings inflection as the company transitions from a money-losing PE portfolio company to a profitable healthcare platform serving 475,000 patients daily through an industry-leading scale operation.</w:t>
      </w:r>
    </w:p>
    <w:p>
      <w:pPr>
        <w:spacing w:after="120"/>
      </w:pPr>
      <w:r>
        <w:rPr>
          <w:rFonts w:ascii="Calibri" w:hAnsi="Calibri"/>
          <w:b w:val="0"/>
          <w:color w:val="3A4A28"/>
          <w:sz w:val="20"/>
        </w:rPr>
        <w:t>The bull case depends on sustained 15%+ revenue growth and continued margin expansion from a razor-thin 1.48% net profit margin base -- any deceleration in specialty pharmacy growth or reimbursement headwinds from CMS would disproportionately impact the bottom line given the low-margin, high-volume business model [5]. The $1.73 billion in recent insider selling by PE sponsors creates significant technical overhang and signals that the largest shareholders view current prices as an attractive exit point [5]. The PE-backed growth strategy relies heavily on acquisitions, creating integration risk and goodwill accumulation that could result in impairments if growth slows. Wage theft lawsuits and labor practice concerns represent both reputational and financial liability risk, particularly as regulators increase scrutiny of PE-backed healthcare companies' treatment of frontline workers [4]. The forward P/E of 29.5x prices in substantial growth that must be delivered consistently to justify the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specialty pharmacy and infusion services revenue acceleration, with Q1 2026 showing 25.6% growth and full-year guidance raised twice since IPO</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from 5.3% in Q1 2026 toward mid-single digits as operating leverage kicks in at scale, with leverage declining from 2.27x toward sub-2x</w:t>
      </w:r>
    </w:p>
    <w:p>
      <w:pPr>
        <w:spacing w:before="40" w:after="40"/>
        <w:ind w:left="283"/>
      </w:pPr>
      <w:r>
        <w:rPr>
          <w:rFonts w:ascii="Calibri" w:hAnsi="Calibri"/>
          <w:b/>
          <w:color w:val="4A6B25"/>
          <w:sz w:val="20"/>
        </w:rPr>
        <w:t xml:space="preserve">3. </w:t>
      </w:r>
      <w:r>
        <w:rPr>
          <w:rFonts w:ascii="Calibri" w:hAnsi="Calibri"/>
          <w:b w:val="0"/>
          <w:color w:val="3A4A28"/>
          <w:sz w:val="20"/>
        </w:rPr>
        <w:t>Successful integration of recent acquisitions in home health driving operational synergies and enabling the Connected Home care model to differentiate service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 sponsor selling overhang of $1.73 billion in recent months signals KKR/Onex exit strategy and creates sustained technical pressure on share price</w:t>
      </w:r>
    </w:p>
    <w:p>
      <w:pPr>
        <w:spacing w:before="40" w:after="40"/>
        <w:ind w:left="283"/>
      </w:pPr>
      <w:r>
        <w:rPr>
          <w:rFonts w:ascii="Calibri" w:hAnsi="Calibri"/>
          <w:b/>
          <w:color w:val="4A6B25"/>
          <w:sz w:val="20"/>
        </w:rPr>
        <w:t xml:space="preserve">2. </w:t>
      </w:r>
      <w:r>
        <w:rPr>
          <w:rFonts w:ascii="Calibri" w:hAnsi="Calibri"/>
          <w:b w:val="0"/>
          <w:color w:val="3A4A28"/>
          <w:sz w:val="20"/>
        </w:rPr>
        <w:t>Razor-thin 1.48% net profit margin means any CMS reimbursement rate changes, specialty pharmacy DIR fee adjustments, or labor cost inflation could wipe out profitability entirely</w:t>
      </w:r>
    </w:p>
    <w:p>
      <w:pPr>
        <w:spacing w:before="40" w:after="40"/>
        <w:ind w:left="283"/>
      </w:pPr>
      <w:r>
        <w:rPr>
          <w:rFonts w:ascii="Calibri" w:hAnsi="Calibri"/>
          <w:b/>
          <w:color w:val="4A6B25"/>
          <w:sz w:val="20"/>
        </w:rPr>
        <w:t xml:space="preserve">3. </w:t>
      </w:r>
      <w:r>
        <w:rPr>
          <w:rFonts w:ascii="Calibri" w:hAnsi="Calibri"/>
          <w:b w:val="0"/>
          <w:color w:val="3A4A28"/>
          <w:sz w:val="20"/>
        </w:rPr>
        <w:t>Wage theft lawsuits and labor practice investigations create legal liability and reputational risk, particularly as regulatory scrutiny of PE-backed healthcare companies intensifies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BrightSpring's core business involves physical, in-person healthcare delivery that AI structurally cannot replace. Home health aides provide hands-on patient care, pharmacists dispense and manage complex medication regimens, and infusion services require skilled clinical staff performing physical procedures [1][3]. The business is heavily regulated by CMS and state agencies, requiring licensed clinical professionals for reimbursement. AI may increase demand for home-based care by enabling remote monitoring and clinical decision support, making it an enabler rather than a disruptor. The company serves 475,000 patients daily through 12,400 clinical providers -- this physical care delivery network is immune to AI substitution. AI Opportunity (0/1): No AI-related revenue was identified. BrightSpring has implemented operational automation in pharmacy workflows but has not launched AI-powered products or services generating quantifiable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BrightSpring Q1 2026 Earnings Release and Raised Full-Year Guidance -- BrightSpring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BrightSpring FY2025 Full Year Results and Initial FY2026 Guidance -- BrightSpring Investor Relations, March 2026</w:t>
      </w:r>
    </w:p>
    <w:p>
      <w:pPr>
        <w:spacing w:before="20" w:after="20"/>
        <w:ind w:left="170"/>
      </w:pPr>
      <w:r>
        <w:rPr>
          <w:rFonts w:ascii="Calibri" w:hAnsi="Calibri"/>
          <w:b/>
          <w:color w:val="4A6B25"/>
          <w:sz w:val="15"/>
        </w:rPr>
        <w:t xml:space="preserve">3. </w:t>
      </w:r>
      <w:r>
        <w:rPr>
          <w:rFonts w:ascii="Calibri" w:hAnsi="Calibri"/>
          <w:b w:val="0"/>
          <w:color w:val="3A4A28"/>
          <w:sz w:val="17"/>
        </w:rPr>
        <w:t>BrightSpring Health Services Company Website and LEGACY Framework -- brightspringhealth.com</w:t>
      </w:r>
    </w:p>
    <w:p>
      <w:pPr>
        <w:spacing w:before="20" w:after="20"/>
        <w:ind w:left="170"/>
      </w:pPr>
      <w:r>
        <w:rPr>
          <w:rFonts w:ascii="Calibri" w:hAnsi="Calibri"/>
          <w:b/>
          <w:color w:val="4A6B25"/>
          <w:sz w:val="15"/>
        </w:rPr>
        <w:t xml:space="preserve">4. </w:t>
      </w:r>
      <w:r>
        <w:rPr>
          <w:rFonts w:ascii="Calibri" w:hAnsi="Calibri"/>
          <w:b w:val="0"/>
          <w:color w:val="3A4A28"/>
          <w:sz w:val="17"/>
        </w:rPr>
        <w:t>Private Equity at Home: Wall Street's Incursion into Home Healthcare -- Private Equity Stakeholder Project Report</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BTSG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