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BWA</w:t>
      </w:r>
      <w:r>
        <w:rPr>
          <w:rFonts w:ascii="Calibri" w:hAnsi="Calibri"/>
          <w:b/>
          <w:color w:val="1A2010"/>
          <w:sz w:val="40"/>
        </w:rPr>
        <w:t xml:space="preserve">  BorgWarner Inc.</w:t>
      </w:r>
    </w:p>
    <w:p>
      <w:pPr>
        <w:spacing w:after="120"/>
      </w:pPr>
      <w:r>
        <w:rPr>
          <w:rFonts w:ascii="Calibri" w:hAnsi="Calibri"/>
          <w:b/>
          <w:color w:val="6E8450"/>
          <w:sz w:val="18"/>
        </w:rPr>
        <w:t>GROWTH SLEEVE · 2026-07-10 · Inspire: 65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Discretionary · Auto Parts &amp; Equipment · NYSE · United States</w:t>
      </w:r>
    </w:p>
    <w:p>
      <w:pPr>
        <w:spacing w:after="80"/>
      </w:pPr>
      <w:r>
        <w:rPr>
          <w:rFonts w:ascii="Calibri" w:hAnsi="Calibri"/>
          <w:b w:val="0"/>
          <w:color w:val="3A4A28"/>
          <w:sz w:val="20"/>
        </w:rPr>
        <w:t>BorgWarner Inc. is a global product leader in innovative and sustainable mobility solutions for the vehicle market, with operations in 22 countries. Products include turbochargers, e-motors, power electronics, battery systems, and thermal management solutions for passenger cars, commercial vehicles, and off-highway equipment. The company is expanding into AI data center power generation through its TurboCell turbine technology. FY2025 revenue was approximately $14.3 billion.</w:t>
      </w:r>
    </w:p>
    <w:p>
      <w:r>
        <w:rPr>
          <w:rFonts w:ascii="Calibri" w:hAnsi="Calibri"/>
          <w:b/>
          <w:color w:val="6E8450"/>
          <w:sz w:val="18"/>
        </w:rPr>
        <w:t>46,000 Employees · https://www.borgwarner.com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BorgWarner has executed a significant strategic pivot from pure ICE powertrain components to electrified propulsion, acquiring BEV and HEV technology companies, while simultaneously entering the AI data center power market with TurboCell turbine generators targeted for 2027 production [3]. However, the Battery Energy Systems segment has underperformed, with organic net sales declining 4.2% in Q1 2026 [1]. AI Deployment (1/2): The company integrates AI across manufacturing operations for predictive maintenance, production optimization, and supply chain management, though no quantified AI-driven savings have been publicly reported [5]. Market Share (1/2): BorgWarner is the global leader in turbochargers and holds meaningful positions in ePropulsion components, winning 12 new product awards in Q1 2026 across its portfolio [1]. Product Pipeline (1/2): TurboCell turbine generators for AI data center power with a 2027 production timeline represent a new addressable market, alongside an expanding ePropulsion lineup for hybrid and battery-electric vehicles [3]. R&amp;D Intensity (1/1): The company invests substantially in eMobility R&amp;D and has committed to a multi-year technology transformation, spending above industry average for auto parts suppliers.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BorgWarner's purpose centers on delivering 'a clean, energy-efficient world' through sustainable mobility solutions — clear and directional but not distinctive among automotive suppliers pivoting to electrification. Community Impact (1/2): Named to TIME's Most Sustainable Companies 2026, with an active sustainability program that increased supplier participation in its Sustainability Self-Assessment Questionnaire by 35%, though specific charitable dollar amounts are not prominently cited [4]. Employee Retention (1/2): Glassdoor rating of 3.9/5 with 70% of employees recommending the company and core values of Integrity, Excellence, Responsibility, Inclusion, and Collaboration embedded in the OneBW culture, though only 54% have a positive business outlook [5]. Insider Buying (0/2): No evidence of meaningful net insider buying by CEO Joseph Fadool or other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using Growth weights. Q1 2026 delivered $3.53B revenue (up 1% YoY reported, organic down 4.2%) with net income of $242M ($1.16 diluted EPS, up 61% YoY) and adjusted operating margin of 10.5%, a 50bps improvement [1]. Balance sheet shows $2.11B cash against $3.88B total debt for a D/E ratio of 71%, near the 70% target [1]. Forward PE of 12.9x on $65.91 stock price based on $5.10 midpoint EPS guidance scores at maximum. PEG ratio of 1.03 is near the 1.0 target. Key weaknesses are modest ROE of 7.3% (well below the 15% target) and 5-year revenue CAGR of 4.8% (below 10% target) [6]. FY2026 guidance of $900M-$1.1B free cash flow supports capital return and reinvestment flexibility.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BorgWarner under CEO Joseph Fadool is executing a significant industrial transformation from ICE powertrain to electrified mobility and AI data center power, but the transformation reads more as strategic necessity than purpose-driven infinite thinking. The company changes strategic direction frequently — from Charging Forward eMobility to Battery Energy Systems restructuring to TurboCell data center pivot — suggesting reactive adaptation rather than a consistent Just Cause driving decades of decisions.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BorgWarner's 'clean, energy-efficient world' purpose is genuine but reads as a strategic positioning statement rather than a Just Cause validated by decades of consistent execution. The company's rapid strategic pivots — from ICE leadership to eMobility to Battery Energy Systems downsizing to AI data center power — suggest the purpose adapts to market opportunity rather than driving long-term direction. Sinek would note that a true Just Cause does not shift with market trends.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 3.9/5 rating with 70% recommendation rate and an explicit OneBW team culture with values of Integrity, Excellence, Responsibility, Inclusion, and Collaboration [5]. CEO Joseph Fadool emphasizes employee contributions in public statements. However, restructuring actions in the Battery Energy Systems segment and the 54% positive business outlook suggest organizational uncertainty that can erode trust during transition periods.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BorgWarner's competitive language focuses on winning awards and market leadership in turbochargers and ePropulsion rather than learning from competitors [1]. The company positions against Tier 1 peers like Bosch, Continental, and Denso in traditional competitive terms with no evidence of management referencing rivals' strengths as motivation for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BorgWarner has evolved significantly from a pure ICE turbocharger company to a diversified propulsion and power technology provider, entering eMobility, battery systems, and now AI data center power generation [3]. These are meaningful incremental pivots rather than a single transformative reinvention, and the pivots appear driven by market necessity (ICE decline, AI data center demand) rather than a Just Cause that demanded change.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BorgWarner invested heavily in eMobility despite near-term margin pressure, spending billions on acquisitions and technology development while the Battery Energy Systems segment dragged profitability [1]. The TurboCell data center power initiative represents a bold entry into an entirely new market [3]. However, the subsequent restructuring of the Battery segment and strategic retreat from some EV commitments suggests the initial bets were not sustained through difficulty.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BorgWarner delivered strong Q1 2026 results with $3.53B revenue, $242M net income ($1.16 EPS, up 61% YoY), and adjusted operating margin of 10.5% expanding 50bps year-over-year, while guiding to $5.00-$5.20 adjusted EPS and $900M-$1.1B free cash flow for FY2026 [1]. At 12.9x forward earnings with a PEG ratio of 1.03, BWA trades at a reasonable valuation for a diversified powertrain supplier with an emerging AI data center power opportunity through TurboCell turbine generators targeting 2027 production [3]. The 12 new product awards in Q1 2026 provide multi-year revenue visibility, and the company returned $185M to shareholders through buybacks and dividends in the quarter [1].</w:t>
      </w:r>
    </w:p>
    <w:p>
      <w:pPr>
        <w:spacing w:after="120"/>
      </w:pPr>
      <w:r>
        <w:rPr>
          <w:rFonts w:ascii="Calibri" w:hAnsi="Calibri"/>
          <w:b w:val="0"/>
          <w:color w:val="3A4A28"/>
          <w:sz w:val="20"/>
        </w:rPr>
        <w:t>The bear case centers on structural headwinds: organic revenue declined 4.2% in Q1 2026 as weighted light vehicle markets are expected down 3% to flat, and full-year guidance of $14.0-$14.3B implies flat to negative revenue growth versus FY2025's $14.3B [1][2]. The legacy ICE turbocharger business faces secular decline as EV adoption accelerates, while the Battery Energy Systems segment has underperformed, requiring restructuring that compressed trailing GAAP profit margin to ~1.9% in FY2025 [6]. The TurboCell AI data center power initiative is entirely unproven — manufacturing turbine generators for static power represents a significant execution risk departure from automotive-scale production, and any delays past the 2027 timeline could damage credibility [3]. ROE of 7.3% is well below the 15% target, reflecting the margin dilution from the eMobility transition.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TurboCell turbine generator production launch in 2027 for AI data center power, opening a new addressable market outside the declining ICE automotive segment [3]</w:t>
      </w:r>
    </w:p>
    <w:p>
      <w:pPr>
        <w:spacing w:before="40" w:after="40"/>
        <w:ind w:left="283"/>
      </w:pPr>
      <w:r>
        <w:rPr>
          <w:rFonts w:ascii="Calibri" w:hAnsi="Calibri"/>
          <w:b/>
          <w:color w:val="4A6B25"/>
          <w:sz w:val="20"/>
        </w:rPr>
        <w:t xml:space="preserve">2. </w:t>
      </w:r>
      <w:r>
        <w:rPr>
          <w:rFonts w:ascii="Calibri" w:hAnsi="Calibri"/>
          <w:b w:val="0"/>
          <w:color w:val="3A4A28"/>
          <w:sz w:val="20"/>
        </w:rPr>
        <w:t>Continued adjusted operating margin expansion toward the 10.7-10.9% FY2026 guidance range through cost restructuring and favorable product mix shift toward higher-margin ePropulsion [1]</w:t>
      </w:r>
    </w:p>
    <w:p>
      <w:pPr>
        <w:spacing w:before="40" w:after="40"/>
        <w:ind w:left="283"/>
      </w:pPr>
      <w:r>
        <w:rPr>
          <w:rFonts w:ascii="Calibri" w:hAnsi="Calibri"/>
          <w:b/>
          <w:color w:val="4A6B25"/>
          <w:sz w:val="20"/>
        </w:rPr>
        <w:t xml:space="preserve">3. </w:t>
      </w:r>
      <w:r>
        <w:rPr>
          <w:rFonts w:ascii="Calibri" w:hAnsi="Calibri"/>
          <w:b w:val="0"/>
          <w:color w:val="3A4A28"/>
          <w:sz w:val="20"/>
        </w:rPr>
        <w:t>12 new product awards in Q1 2026 across turbochargers, e-motors, and power electronics supporting multi-year revenue backlog visibility with global OEM customers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EV adoption accelerating faster than expected could compress demand for turbochargers and ICE powertrain components, which still generate the majority of BWA revenue despite the eMobility pivot</w:t>
      </w:r>
    </w:p>
    <w:p>
      <w:pPr>
        <w:spacing w:before="40" w:after="40"/>
        <w:ind w:left="283"/>
      </w:pPr>
      <w:r>
        <w:rPr>
          <w:rFonts w:ascii="Calibri" w:hAnsi="Calibri"/>
          <w:b/>
          <w:color w:val="4A6B25"/>
          <w:sz w:val="20"/>
        </w:rPr>
        <w:t xml:space="preserve">2. </w:t>
      </w:r>
      <w:r>
        <w:rPr>
          <w:rFonts w:ascii="Calibri" w:hAnsi="Calibri"/>
          <w:b w:val="0"/>
          <w:color w:val="3A4A28"/>
          <w:sz w:val="20"/>
        </w:rPr>
        <w:t>TurboCell data center power initiative faces material execution risk — manufacturing turbine generators for static power is a fundamental departure from automotive scale, with no proven track record in the segment [3]</w:t>
      </w:r>
    </w:p>
    <w:p>
      <w:pPr>
        <w:spacing w:before="40" w:after="40"/>
        <w:ind w:left="283"/>
      </w:pPr>
      <w:r>
        <w:rPr>
          <w:rFonts w:ascii="Calibri" w:hAnsi="Calibri"/>
          <w:b/>
          <w:color w:val="4A6B25"/>
          <w:sz w:val="20"/>
        </w:rPr>
        <w:t xml:space="preserve">3. </w:t>
      </w:r>
      <w:r>
        <w:rPr>
          <w:rFonts w:ascii="Calibri" w:hAnsi="Calibri"/>
          <w:b w:val="0"/>
          <w:color w:val="3A4A28"/>
          <w:sz w:val="20"/>
        </w:rPr>
        <w:t>Organic revenue decline of 4.2% in Q1 2026 and FY2026 guidance of $14.0-14.3B (flat to slightly down from FY2025's $14.3B) signals underlying market weakness in global automotive production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BorgWarner's core business involves physical-world manufacturing of turbochargers, e-motors, power electronics, and thermal systems — processes that AI structurally cannot displace [1]. Automotive OEM supply contracts, manufacturing know-how, and regulatory certifications create deep defensive moats against AI substitution. The broader EV transition reduces powertrain complexity but is an industry structural shift, not AI disruption. AI may actually increase demand through smart factory automation and autonomous vehicle component needs. AI Opportunity (1/1): The TurboCell turbine generator partnership for AI data center power represents a direct new revenue stream from AI infrastructure buildout, with production targeted for 2027 and specific customer commitments [3]. This positions BWA as a supplier to the AI data center ecosystem.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BorgWarner Q1 2026 Earnings Release — prnewswire.com, May 6, 2026</w:t>
      </w:r>
    </w:p>
    <w:p>
      <w:pPr>
        <w:spacing w:before="20" w:after="20"/>
        <w:ind w:left="170"/>
      </w:pPr>
      <w:r>
        <w:rPr>
          <w:rFonts w:ascii="Calibri" w:hAnsi="Calibri"/>
          <w:b/>
          <w:color w:val="4A6B25"/>
          <w:sz w:val="15"/>
        </w:rPr>
        <w:t xml:space="preserve">2. </w:t>
      </w:r>
      <w:r>
        <w:rPr>
          <w:rFonts w:ascii="Calibri" w:hAnsi="Calibri"/>
          <w:b w:val="0"/>
          <w:color w:val="3A4A28"/>
          <w:sz w:val="17"/>
        </w:rPr>
        <w:t>BorgWarner FY2026 Guidance and Strategic Update — stocktitan.net, February 2026</w:t>
      </w:r>
    </w:p>
    <w:p>
      <w:pPr>
        <w:spacing w:before="20" w:after="20"/>
        <w:ind w:left="170"/>
      </w:pPr>
      <w:r>
        <w:rPr>
          <w:rFonts w:ascii="Calibri" w:hAnsi="Calibri"/>
          <w:b/>
          <w:color w:val="4A6B25"/>
          <w:sz w:val="15"/>
        </w:rPr>
        <w:t xml:space="preserve">3. </w:t>
      </w:r>
      <w:r>
        <w:rPr>
          <w:rFonts w:ascii="Calibri" w:hAnsi="Calibri"/>
          <w:b w:val="0"/>
          <w:color w:val="3A4A28"/>
          <w:sz w:val="17"/>
        </w:rPr>
        <w:t>BorgWarner TurboCell AI Data Center Power Expansion — Yahoo Finance, February 2026</w:t>
      </w:r>
    </w:p>
    <w:p>
      <w:pPr>
        <w:spacing w:before="20" w:after="20"/>
        <w:ind w:left="170"/>
      </w:pPr>
      <w:r>
        <w:rPr>
          <w:rFonts w:ascii="Calibri" w:hAnsi="Calibri"/>
          <w:b/>
          <w:color w:val="4A6B25"/>
          <w:sz w:val="15"/>
        </w:rPr>
        <w:t xml:space="preserve">4. </w:t>
      </w:r>
      <w:r>
        <w:rPr>
          <w:rFonts w:ascii="Calibri" w:hAnsi="Calibri"/>
          <w:b w:val="0"/>
          <w:color w:val="3A4A28"/>
          <w:sz w:val="17"/>
        </w:rPr>
        <w:t>BorgWarner Named to TIME's Most Sustainable Companies 2026 — prnewswire.com, 2026</w:t>
      </w:r>
    </w:p>
    <w:p>
      <w:pPr>
        <w:spacing w:before="20" w:after="20"/>
        <w:ind w:left="170"/>
      </w:pPr>
      <w:r>
        <w:rPr>
          <w:rFonts w:ascii="Calibri" w:hAnsi="Calibri"/>
          <w:b/>
          <w:color w:val="4A6B25"/>
          <w:sz w:val="15"/>
        </w:rPr>
        <w:t xml:space="preserve">5. </w:t>
      </w:r>
      <w:r>
        <w:rPr>
          <w:rFonts w:ascii="Calibri" w:hAnsi="Calibri"/>
          <w:b w:val="0"/>
          <w:color w:val="3A4A28"/>
          <w:sz w:val="17"/>
        </w:rPr>
        <w:t>Glassdoor — BorgWarner Employee Reviews (3.9/5, 1,271 reviews), accessed July 2026</w:t>
      </w:r>
    </w:p>
    <w:p>
      <w:pPr>
        <w:spacing w:before="20" w:after="20"/>
        <w:ind w:left="170"/>
      </w:pPr>
      <w:r>
        <w:rPr>
          <w:rFonts w:ascii="Calibri" w:hAnsi="Calibri"/>
          <w:b/>
          <w:color w:val="4A6B25"/>
          <w:sz w:val="15"/>
        </w:rPr>
        <w:t xml:space="preserve">6. </w:t>
      </w:r>
      <w:r>
        <w:rPr>
          <w:rFonts w:ascii="Calibri" w:hAnsi="Calibri"/>
          <w:b w:val="0"/>
          <w:color w:val="3A4A28"/>
          <w:sz w:val="17"/>
        </w:rPr>
        <w:t>Yahoo Finance — BWA Key Statistics and Financial Data,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