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BXP</w:t>
      </w:r>
      <w:r>
        <w:rPr>
          <w:rFonts w:ascii="Calibri" w:hAnsi="Calibri"/>
          <w:b/>
          <w:color w:val="1A2010"/>
          <w:sz w:val="40"/>
        </w:rPr>
        <w:t xml:space="preserve">  BXP, Inc.</w:t>
      </w:r>
    </w:p>
    <w:p>
      <w:pPr>
        <w:spacing w:after="120"/>
      </w:pPr>
      <w:r>
        <w:rPr>
          <w:rFonts w:ascii="Calibri" w:hAnsi="Calibri"/>
          <w:b/>
          <w:color w:val="6E8450"/>
          <w:sz w:val="18"/>
        </w:rPr>
        <w:t>DIVIDEND SLEEVE · 2026-07-12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BXP (formerly Boston Properties) is the largest publicly traded developer, owner, and manager of premier Class A office properties in the U.S., with approximately 52.6 million rentable square feet concentrated in six gateway markets: Boston, Los Angeles, New York, San Francisco, Seattle, and Washington, D.C. Organized as a REIT, the company distributes at least 100% of taxable income.</w:t>
      </w:r>
    </w:p>
    <w:p>
      <w:r>
        <w:rPr>
          <w:rFonts w:ascii="Calibri" w:hAnsi="Calibri"/>
          <w:b/>
          <w:color w:val="6E8450"/>
          <w:sz w:val="18"/>
        </w:rPr>
        <w:t>800 Employees · https://www.bxp.com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Q1 2026 total revenues of $872.1M were marginally higher YoY with over 1.1 million square feet of leasing completed, signaling stabilization after FY2025's 6.7% revenue decline [1]. The $1.2B strategic asset sales program (including ~$180M since last earnings call) demonstrates active portfolio optimization [1]. AI Deployment (1/2): BXP is a beneficiary rather than deployer of AI — San Francisco fundamentals improving on major AI tenant commitments with Anthropic, OpenAI, and Crusoe contributing 1.4M+ SF of net absorption [2]. The company benefits directly from the physical space requirements of AI-native companies. Market Share (2/2): BXP is the largest publicly traded owner of Class A office in the U.S. with 52.6M SF across six gateway markets, a dominant market position that survived the post-pandemic office downturn [1][3]. Product Pipeline (1/2): 2026 FFO/share guidance raised by $0.01 to a new midpoint following Q1 beat, with development pipeline including life science conversions and premium office projects [1]. R&amp;D Intensity (0/1): REITs do not carry traditional R&amp;D; capital is deployed to development, acquisitions, and sustainability upgrades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BXP's tagline 'Places Powering Progress' and mission to 'develop and manage distinctive properties, provide excellent client service and produce superior returns' reflect 60+ years of consistent execution in premier office development [4]. The purpose is credible and backed by decades of portfolio building, though it remains more operational than aspirational. Community Impact (2/2): Achieved carbon-neutral operations (Scopes 1 and 2), 27.7M square feet LEED certified (96% at Gold or Platinum), Sustainalytics low-risk ESG rating with no major controversies, and the only North American office company with SBTi-approved 1.5C-aligned emissions targets [5]. Named one of Newsweek's Most Responsible Companies, highest-ranking office REIT. Employee Retention (1/2): Executive team averages 32 years of real estate experience and 21 years with BXP, demonstrating exceptional leadership continuity and a promote-from-within culture [4]. Glassdoor 4.1/5 vs. 3.8 REIT industry average. Insider Buying (0/2): Net insider selling in recent months — 7 sales and 0 purchases over the last 6 months, including SVP selling 200 shares and Senior EVP selling 36,314 shares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$872.1M in revenue with FFO of $1.59/share, exceeding guidance midpoint by $0.02 and prompting a guidance raise [1]. D/E of 317% exceeds the 300% floor, scoring zero on leverage — typical for capital-intensive REITs but a structural penalty [3]. ROE of 5.38% is well below the 15% target, depressed by high depreciation charges on the real estate portfolio. Forward P/E of ~24x reflects modestly expensive valuation on GAAP earnings, though P/FFO of ~8.6x signals deep value. Profit margin of 7.95% is constrained by the REIT model's high depreciation and interest expense (18.6% of revenue). The 28-year unbroken dividend payment record anchors the score, but zero consecutive years of dividend growth and negative 5-year dividend growth CAGR (-6.5%) weigh heavily. FFO-based payout ratio of ~40% provides dividend safety margin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BXP exhibits infinite-game behavior through its 60+ year build-and-hold franchise, carbon-neutrality commitment, and exceptionally long executive tenures averaging 21 years. The company navigated the post-pandemic office downturn without fire-sale dispositions or drastic dividend cuts, opting for patient capital recycling and portfolio repositioning. However, the 'Places Powering Progress' purpose is more operational than aspirational, and the structural office headwind forces a more tactical posture than a truly infinite player would prefer.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'Places Powering Progress' and the mission to build premier workplaces is a credible purpose backed by 60+ years of execution, but it lacks the aspirational, humanity-serving quality Sinek demands of a true Just Cause [4]. Building beautiful office buildings is commendable but does not describe a future state so appealing that people will sacrifice to advance it. The cause is operational excellence rather than cultural elevation.</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The executive team averaging 21 years with BXP and 32 years in real estate represents exceptional organizational trust and continuity — this is a promote-from-within culture where leaders stay for decades [4]. Glassdoor rating of 4.1/5 vs. 3.8 REIT industry average provides supporting evidence. CEO Owen Thomas has led since 2013 with Chairman title since 2022, and the leadership transition was orderly and internal.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BXP consistently benchmarks against SL Green, Vornado, Kilroy, and other gateway office REITs on occupancy rates, rent spreads, ESG metrics, and development execution [1]. The competitive language focuses on quality improvement and portfolio positioning rather than destroying rivals. Management frames competition in terms of 'premier' and 'distinctive' properties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BXP has adapted its portfolio through the post-pandemic office disruption — leaning into AI-tenanted San Francisco, pursuing life science conversions, executing $1.2B in strategic asset sales, and selectively investing in development [1][2]. However, the fundamental business model (own and operate Class A office) cannot pivot wholesale. The adaptation is tactical and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Maintaining the dividend and avoiding fire-sale dispositions through the worst office REIT downturn since the GFC required genuine conviction [1]. The carbon-neutral operations commitment and SBTi-approved 1.5C targets were adopted when profitability was declining, showing willingness to invest in sustainability over short-term cost savings [5]. However, the company's size and portfolio quality made these decisions less risky than they would be for a smaller REIT.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BXP owns the highest-quality Class A office portfolio in the U.S. gateway cities — exactly the asset class AI companies are aggressively leasing [2]. Q1 2026 showed stabilization with $872.1M in revenue, FFO of $1.59/share exceeding guidance, and over 1.1M square feet of new leasing, prompting BXP to raise full-year 2026 FFO guidance [1]. AI tenant demand from Anthropic, OpenAI, and Crusoe contributing 1.4M+ SF of San Francisco net absorption provides a genuine secular tailwind for BXP's gateway portfolio. At P/FFO of ~8.6x and a 4.67% dividend yield backed by 28 consecutive years of payments and a healthy 40% FFO payout ratio, the stock offers income support with recovery optionality if occupancy trends continue improving. The $1.2B strategic asset sales program demonstrates disciplined capital recycling [1].</w:t>
      </w:r>
    </w:p>
    <w:p>
      <w:pPr>
        <w:spacing w:after="120"/>
      </w:pPr>
      <w:r>
        <w:rPr>
          <w:rFonts w:ascii="Calibri" w:hAnsi="Calibri"/>
          <w:b w:val="0"/>
          <w:color w:val="3A4A28"/>
          <w:sz w:val="20"/>
        </w:rPr>
        <w:t>The bear case remains substantial. D/E of 317% with approximately $16B in debt creates significant refinancing risk if interest rates stay elevated or widen further — interest expense already consumes 18.6% of revenue [3]. The dividend has not grown in recent years (0 consecutive years of growth, -6.5% 5-year CAGR), reflecting the strain of the post-pandemic office downturn. GAAP ROE of 5.38% is deeply below the 15% target, and profit margin of 7.95% is constrained by depreciation and interest burden. Structural office demand remains weaker than pre-pandemic as hybrid work tools (partially AI-enabled) compress aggregate space needs outside of trophy assets. If AI tenant absorption in San Francisco decelerates or a recession pressures office demand broadly, BXP's leverage will amplify the downside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tenant absorption in San Francisco from Anthropic, OpenAI, and Crusoe continuing to drive occupancy above 90%, resetting FFO growth trajectory and narrowing the discount to pre-pandemic valuations [2]</w:t>
      </w:r>
    </w:p>
    <w:p>
      <w:pPr>
        <w:spacing w:before="40" w:after="40"/>
        <w:ind w:left="283"/>
      </w:pPr>
      <w:r>
        <w:rPr>
          <w:rFonts w:ascii="Calibri" w:hAnsi="Calibri"/>
          <w:b/>
          <w:color w:val="4A6B25"/>
          <w:sz w:val="20"/>
        </w:rPr>
        <w:t xml:space="preserve">2. </w:t>
      </w:r>
      <w:r>
        <w:rPr>
          <w:rFonts w:ascii="Calibri" w:hAnsi="Calibri"/>
          <w:b w:val="0"/>
          <w:color w:val="3A4A28"/>
          <w:sz w:val="20"/>
        </w:rPr>
        <w:t>Fed rate cuts reducing refinancing costs on the ~$16B debt load and compressing cap rates, supporting NAV recovery and enabling faster deleveraging through the $1.2B+ asset sales program [3]</w:t>
      </w:r>
    </w:p>
    <w:p>
      <w:pPr>
        <w:spacing w:before="40" w:after="40"/>
        <w:ind w:left="283"/>
      </w:pPr>
      <w:r>
        <w:rPr>
          <w:rFonts w:ascii="Calibri" w:hAnsi="Calibri"/>
          <w:b/>
          <w:color w:val="4A6B25"/>
          <w:sz w:val="20"/>
        </w:rPr>
        <w:t xml:space="preserve">3. </w:t>
      </w:r>
      <w:r>
        <w:rPr>
          <w:rFonts w:ascii="Calibri" w:hAnsi="Calibri"/>
          <w:b w:val="0"/>
          <w:color w:val="3A4A28"/>
          <w:sz w:val="20"/>
        </w:rPr>
        <w:t>Full-year 2026 FFO guidance raised after Q1 beat, with occupancy gains and leasing momentum signaling a potential cyclical trough in office fundamentals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317% with ~$16B debt creates refinancing risk if rates stay higher for longer — interest expense at 18.6% of revenue is a structural drag that amplifies any revenue weakness [3]</w:t>
      </w:r>
    </w:p>
    <w:p>
      <w:pPr>
        <w:spacing w:before="40" w:after="40"/>
        <w:ind w:left="283"/>
      </w:pPr>
      <w:r>
        <w:rPr>
          <w:rFonts w:ascii="Calibri" w:hAnsi="Calibri"/>
          <w:b/>
          <w:color w:val="4A6B25"/>
          <w:sz w:val="20"/>
        </w:rPr>
        <w:t xml:space="preserve">2. </w:t>
      </w:r>
      <w:r>
        <w:rPr>
          <w:rFonts w:ascii="Calibri" w:hAnsi="Calibri"/>
          <w:b w:val="0"/>
          <w:color w:val="3A4A28"/>
          <w:sz w:val="20"/>
        </w:rPr>
        <w:t>Structural office demand headwind from hybrid/remote work continues to pressure occupancy and rent spreads outside of AI-driven trophy submarkets [2]</w:t>
      </w:r>
    </w:p>
    <w:p>
      <w:pPr>
        <w:spacing w:before="40" w:after="40"/>
        <w:ind w:left="283"/>
      </w:pPr>
      <w:r>
        <w:rPr>
          <w:rFonts w:ascii="Calibri" w:hAnsi="Calibri"/>
          <w:b/>
          <w:color w:val="4A6B25"/>
          <w:sz w:val="20"/>
        </w:rPr>
        <w:t xml:space="preserve">3. </w:t>
      </w:r>
      <w:r>
        <w:rPr>
          <w:rFonts w:ascii="Calibri" w:hAnsi="Calibri"/>
          <w:b w:val="0"/>
          <w:color w:val="3A4A28"/>
          <w:sz w:val="20"/>
        </w:rPr>
        <w:t>Dividend has not grown (0 consecutive years, -6.5% 5-year CAGR), and GAAP ROE of 5.38% signals deteriorating capital returns despite the portfolio's premier quality positioning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Office REITs face a bifurcated AI story — AI-powered remote work tools reduce aggregate office demand, but AI companies require substantial premium Class A space in gateway cities, which is exactly BXP's portfolio [2]. The physical real estate business is structurally immune to direct AI substitution — you cannot virtually replicate office buildings, property management, or the in-person collaboration environments that AI companies themselves demand. The indirect risk is that AI increases knowledge worker productivity enough to reduce total headcount and office space needs over time. Analysts have not flagged AI as a primary risk for BXP specifically, viewing AI tenant demand as a partial offset [2]. AI Opportunity (1/1): BXP is directly generating revenue from AI tenant demand — Anthropic, OpenAI, and Crusoe contributed 1.4M+ SF of net absorption in San Francisco, and the trend of AI companies requiring large physical footprints is a measurable revenue driver for BXP's gateway market portfolio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BXP Q1 2026 Earnings Release — $872.1M revenue, FFO $1.59/share, 1.1M+ SF leasing, guidance raised, April 2026</w:t>
      </w:r>
    </w:p>
    <w:p>
      <w:pPr>
        <w:spacing w:before="20" w:after="20"/>
        <w:ind w:left="170"/>
      </w:pPr>
      <w:r>
        <w:rPr>
          <w:rFonts w:ascii="Calibri" w:hAnsi="Calibri"/>
          <w:b/>
          <w:color w:val="4A6B25"/>
          <w:sz w:val="15"/>
        </w:rPr>
        <w:t xml:space="preserve">2. </w:t>
      </w:r>
      <w:r>
        <w:rPr>
          <w:rFonts w:ascii="Calibri" w:hAnsi="Calibri"/>
          <w:b w:val="0"/>
          <w:color w:val="3A4A28"/>
          <w:sz w:val="17"/>
        </w:rPr>
        <w:t>BXP AI Tenant Demand Coverage — Anthropic, OpenAI, Crusoe contributing 1.4M+ SF San Francisco net absorption,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GuruFocus — BXP price $59.92, P/E 25.94, D/E 317%, ROE 5.38%, yield 4.67%,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BXP Corporate Website — Mission, Values, Leadership Team — bxp.com,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BXP Sustainability &amp; ESG — Carbon-neutral operations, 27.7M SF LEED certified, SBTi 1.5C targets, Newsweek Most Responsible,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Quiver Quantitative — BXP Insider Transactions, Q1 2026 Earnings,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