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BXSL</w:t>
      </w:r>
      <w:r>
        <w:rPr>
          <w:rFonts w:ascii="Calibri" w:hAnsi="Calibri"/>
          <w:b/>
          <w:color w:val="1A2010"/>
          <w:sz w:val="40"/>
        </w:rPr>
        <w:t xml:space="preserve">  Blackstone Secured Lending Fund</w:t>
      </w:r>
    </w:p>
    <w:p>
      <w:pPr>
        <w:spacing w:after="120"/>
      </w:pPr>
      <w:r>
        <w:rPr>
          <w:rFonts w:ascii="Calibri" w:hAnsi="Calibri"/>
          <w:b/>
          <w:color w:val="6E8450"/>
          <w:sz w:val="18"/>
        </w:rPr>
        <w:t>DIVIDEND SLEEVE · 2026-07-11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Blackstone Secured Lending Fund is a publicly traded business development company (BDC) managed by Blackstone Credit &amp; Insurance (BXCI). The fund primarily originates and invests in senior secured first-lien loans to private equity-backed U.S. middle-market companies. The portfolio is 97.6% first-lien secured debt, 95.8% floating rate, diversified across 316 companies with an average loan-to-value of 51.7%. Externally managed by a subsidiary of Blackstone Inc., the world's largest alternative asset manager.</w:t>
      </w:r>
    </w:p>
    <w:p>
      <w:r>
        <w:rPr>
          <w:rFonts w:ascii="Calibri" w:hAnsi="Calibri"/>
          <w:b/>
          <w:color w:val="6E8450"/>
          <w:sz w:val="18"/>
        </w:rPr>
        <w:t>https://www.bxsl.com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BXSL has established itself as a top-tier publicly traded BDC, leveraging Blackstone's unparalleled deal flow, credit underwriting infrastructure, and portfolio monitoring capabilities [1][2]. The fund's 97.6% first-lien, 95.8% floating-rate portfolio construction with 51.7% average LTV represents best-in-class credit discipline. Q1 2026 delivered NII of $0.77/share, beating consensus estimates of $0.7538 [1]. BXSL has outperformed Ares Capital (ARCC) in LTM portfolio growth, balance sheet quality, and dividend coverage according to analyst comparisons [3]. AI Deployment (1/2): Blackstone Credit has actively categorized AI risk across its software portfolio (16% Low AI Impact/Tailwinds, 6% Drive AI Impact, &lt;5% AI Headwinds), demonstrating sophisticated analytical capabilities that smaller BDCs cannot match [4]. Market Share (2/2): As one of the largest publicly traded BDCs backed by the world's largest alternative asset manager ($1T+ AUM), BXSL benefits from proprietary deal flow, co-investment opportunities, and credit market intelligence that smaller platforms cannot replicate. Product Pipeline (1/2): Continued origination activity and portfolio rotation, though the BDC model is inherently mature with limited product innovation vectors. R&amp;D Intensity (1/1): Blackstone platform investment in credit analytics, portfolio monitoring tools, and AI risk assessment frameworks.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BXSL's purpose is generating risk-adjusted income for investors through disciplined senior secured lending -- a financially defined mission that provides capital to middle-market companies but lacks a broader social dimension [2]. The fund operates as an investment vehicle rather than an operating company with a customer-facing mission. Community Impact (0/2): As an externally managed fund vehicle, BXSL has no independent community investment programs. Blackstone Inc. has ESG and philanthropic initiatives, but these are not directly attributable to the BXSL fund. Employee Retention (1/2): BXSL is externally managed by Blackstone Credit professionals. The Blackstone platform attracts and retains top credit talent through compensation, deal flow access, and brand prestige. Key investment professionals have generally maintained long tenures at Blackstone. Insider Buying (1/2): Blackstone insiders and employees maintain positions in BXSL, aligning incentives, though specific recent insider purchase activity was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NII of $0.77/share on total investment income of $325M, with an annualized NII return of 11.4% on NAV [1]. The dividend of $0.77/share is fully covered by NII at a 100% payout ratio, which is standard for BDCs required to distribute 90%+ of taxable income. The 13.33% dividend yield provides exceptional income at a forward P/E of 9.13, which is very attractive for a senior-secured lending vehicle [5]. D/E of 131.7% (1.32x leverage) is conservative relative to BDC regulatory limits and peers, providing headroom for portfolio growth. Profit margin of 31.65% is solid for a lending business. Revenue decline of -9.0% and EPS contraction of -83.1% reflect lower base rates from Fed cuts and higher-than-expected repayments reducing the earning asset base -- structural sector dynamics rather than company-specific weakness [1]. Non-accruals at 3.1% are manageable, though rising from near-zero levels warrants monitoring [3]. Average daily volume of 2.16M shares at $23.44 provides adequate liquidity ($50.5M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BXSL as a fund vehicle inherently operates with more finite characteristics than operating companies -- the purpose is generating quarterly income, the time horizon is driven by loan maturities, and the competitive dynamic is rate-based. However, the Blackstone platform behind the fund demonstrates infinite qualities: a 40+ year track record of building the world's largest alternative asset manager, consistent investment in credit analytics capabilities, and the discipline to maintain conservative leverage and credit standards even when competitors loosen underwriting to chase yield.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BXSL's purpose is generating risk-adjusted income for shareholders through disciplined senior secured lending [2]. While this serves an important economic function (capital allocation to middle-market companies), it lacks the aspirational dimension of a Just Cause as Sinek defines it. The fund does not articulate a purpose beyond financial returns. Blackstone Inc.'s broader mission of building companies and creating value is more compelling, but it is one step removed from the BXSL fund vehicle.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Blackstone Credit employs some of the most experienced credit professionals in the industry, with deep bench strength across origination, underwriting, and portfolio management [3]. The platform's size and prestige attract top talent, and the collaborative investment process (investment committee review) builds institutional trust. However, as an externally managed fund, BXSL does not have its own employees -- team dynamics are those of the Blackstone Credit platform rather than the fund itself.</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BXSL competes with Ares Capital (ARCC), Blue Owl Capital (OBDC), and other large BDCs. Analyst comparisons frequently benchmark BXSL against ARCC, and the fund has used this rivalry to clarify its differentiation in credit quality (97.6% first-lien, 51.7% LTV) and platform advantage [3]. However, the BDC competitive dynamic is primarily rate-based rather than innovation-driven.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BDC model is structurally constrained -- regulated investment vehicles have limited flexibility to pivot business models. BXSL can adjust portfolio composition (sector allocation, risk positioning) but cannot fundamentally transform what it does [2]. The broader Blackstone platform demonstrates significant existential flexibility (expanding from real estate to credit, insurance, infrastructure, life sciences), but this does not directly benefit BXSL shareholders.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BXSL has maintained conservative underwriting standards (97.6% first-lien, 1.32x leverage) even as competitors loosened credit standards to chase yield in the competitive private credit market [3]. Managing through $14B in sector-wide redemption requests in Q1 2026 while maintaining portfolio integrity demonstrates discipline. However, the fund's decisions are ultimately those of the Blackstone management team, and the conservative positioning -- while prudent -- reflects institutional risk management rather than transformative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BXSL offers one of the most attractive risk-adjusted income propositions in the public BDC market: a 13.33% dividend yield backed by Blackstone's best-in-class credit platform, 97.6% first-lien portfolio with 51.7% LTV, and conservative 1.32x leverage [1][2]. Q1 2026 NII of $0.77/share fully covered the quarterly dividend, and the annualized NII return of 11.4% on NAV demonstrates sustainable income generation [1]. The forward P/E of 9.13 provides an attractive entry point for income-oriented investors. Blackstone's platform advantage -- proprietary deal flow from $1T+ AUM, AI-enhanced credit analytics, and 316-company portfolio diversification -- creates structural quality advantages that smaller BDCs cannot replicate [3].</w:t>
      </w:r>
    </w:p>
    <w:p>
      <w:pPr>
        <w:spacing w:after="120"/>
      </w:pPr>
      <w:r>
        <w:rPr>
          <w:rFonts w:ascii="Calibri" w:hAnsi="Calibri"/>
          <w:b w:val="0"/>
          <w:color w:val="3A4A28"/>
          <w:sz w:val="20"/>
        </w:rPr>
        <w:t>The primary concern is the late-cycle credit environment: total investment income of $325M fell short of the $359.9M consensus due to higher-than-expected repayments, and base rate cuts have compressed net interest margins, driving NII and revenue declines (-9% revenue, -83.1% EPS) [1]. Non-accruals have risen to 3.1% from near-zero levels, and dispersion in credit quality is widening across the BDC sector as late-cycle softening emerges [3]. The 100% NII payout ratio leaves no cushion -- any further NII compression could force a dividend reduction, though Seeking Alpha analysis concluded a cut is 'unlikely in 2026' [3]. Software exposure (~26% of the broader Blackstone credit portfolio) introduces indirect AI disruption risk if borrowers' business models are disrupted [4]. Additionally, the $14B sector-wide redemption wave in non-traded BDCs in Q1 2026 signals investor anxiety about private credit quality that could spill over to publicly traded vehicles like BXSL.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base rates supporting NII recovery and potential re-acceleration of portfolio growth through new originations, with Blackstone's deal flow advantage enabling selective deployment [1]</w:t>
      </w:r>
    </w:p>
    <w:p>
      <w:pPr>
        <w:spacing w:before="40" w:after="40"/>
        <w:ind w:left="283"/>
      </w:pPr>
      <w:r>
        <w:rPr>
          <w:rFonts w:ascii="Calibri" w:hAnsi="Calibri"/>
          <w:b/>
          <w:color w:val="4A6B25"/>
          <w:sz w:val="20"/>
        </w:rPr>
        <w:t xml:space="preserve">2. </w:t>
      </w:r>
      <w:r>
        <w:rPr>
          <w:rFonts w:ascii="Calibri" w:hAnsi="Calibri"/>
          <w:b w:val="0"/>
          <w:color w:val="3A4A28"/>
          <w:sz w:val="20"/>
        </w:rPr>
        <w:t>Continuation of 13.33% dividend yield attracting income-focused capital allocation as rate-cut expectations moderate and BXSL's premium credit quality differentiates from weaker BDC peers [3]</w:t>
      </w:r>
    </w:p>
    <w:p>
      <w:pPr>
        <w:spacing w:before="40" w:after="40"/>
        <w:ind w:left="283"/>
      </w:pPr>
      <w:r>
        <w:rPr>
          <w:rFonts w:ascii="Calibri" w:hAnsi="Calibri"/>
          <w:b/>
          <w:color w:val="4A6B25"/>
          <w:sz w:val="20"/>
        </w:rPr>
        <w:t xml:space="preserve">3. </w:t>
      </w:r>
      <w:r>
        <w:rPr>
          <w:rFonts w:ascii="Calibri" w:hAnsi="Calibri"/>
          <w:b w:val="0"/>
          <w:color w:val="3A4A28"/>
          <w:sz w:val="20"/>
        </w:rPr>
        <w:t>Blackstone platform advantage in selective credit deployment during late-cycle dispersion, where the strongest platforms can pick up quality assets at wider spreads as weaker lenders retreat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Late-cycle credit deterioration could push non-accruals above the current 3.1% level, with software sector exposure (~26%) facing indirect AI disruption risk that could impair borrower fundamentals [3][4]</w:t>
      </w:r>
    </w:p>
    <w:p>
      <w:pPr>
        <w:spacing w:before="40" w:after="40"/>
        <w:ind w:left="283"/>
      </w:pPr>
      <w:r>
        <w:rPr>
          <w:rFonts w:ascii="Calibri" w:hAnsi="Calibri"/>
          <w:b/>
          <w:color w:val="4A6B25"/>
          <w:sz w:val="20"/>
        </w:rPr>
        <w:t xml:space="preserve">2. </w:t>
      </w:r>
      <w:r>
        <w:rPr>
          <w:rFonts w:ascii="Calibri" w:hAnsi="Calibri"/>
          <w:b w:val="0"/>
          <w:color w:val="3A4A28"/>
          <w:sz w:val="20"/>
        </w:rPr>
        <w:t>100% NII payout ratio provides zero dividend cushion -- further base rate compression or credit losses could force a dividend cut, undermining the primary investment thesis [1]</w:t>
      </w:r>
    </w:p>
    <w:p>
      <w:pPr>
        <w:spacing w:before="40" w:after="40"/>
        <w:ind w:left="283"/>
      </w:pPr>
      <w:r>
        <w:rPr>
          <w:rFonts w:ascii="Calibri" w:hAnsi="Calibri"/>
          <w:b/>
          <w:color w:val="4A6B25"/>
          <w:sz w:val="20"/>
        </w:rPr>
        <w:t xml:space="preserve">3. </w:t>
      </w:r>
      <w:r>
        <w:rPr>
          <w:rFonts w:ascii="Calibri" w:hAnsi="Calibri"/>
          <w:b w:val="0"/>
          <w:color w:val="3A4A28"/>
          <w:sz w:val="20"/>
        </w:rPr>
        <w:t>Sector-wide private credit anxiety (evidenced by $14B in non-traded BDC redemption requests in Q1 2026) could create sustained selling pressure on publicly traded BDCs including BXSL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BXSL's core business of originating and managing senior secured first-lien loans is well-insulated from AI disruption. The lending process requires relationship-driven deal sourcing, complex credit underwriting involving judgment calls on management quality, industry dynamics, and capital structure, and ongoing portfolio monitoring -- capabilities where AI augments rather than replaces human expertise [4]. The physical nature of middle-market companies (manufacturing, healthcare, business services) as borrowers provides structural protection. However, BXSL's software sector exposure (~26% of the broader Blackstone credit portfolio) faces indirect AI risk: if AI disrupts borrowers' business models, credit quality could deteriorate [4]. Blackstone's own analysis shows &lt;5% of software portfolio faces 'AI Headwinds,' but late-cycle credit softening combined with AI disruption in specific subsectors creates tail risk. The 97.6% first-lien positioning with 51.7% LTV provides structural cushion even in default scenarios. AI Opportunity (0/1): While Blackstone uses AI for credit analytics and portfolio monitoring internally, this does not generate incremental revenue for BXSL shareholders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Blackstone Secured Lending Fund Q1 2026 Earnings Release and Investor Presentation -- BXSL.com, Q1 2026</w:t>
      </w:r>
    </w:p>
    <w:p>
      <w:pPr>
        <w:spacing w:before="20" w:after="20"/>
        <w:ind w:left="170"/>
      </w:pPr>
      <w:r>
        <w:rPr>
          <w:rFonts w:ascii="Calibri" w:hAnsi="Calibri"/>
          <w:b/>
          <w:color w:val="4A6B25"/>
          <w:sz w:val="15"/>
        </w:rPr>
        <w:t xml:space="preserve">2. </w:t>
      </w:r>
      <w:r>
        <w:rPr>
          <w:rFonts w:ascii="Calibri" w:hAnsi="Calibri"/>
          <w:b w:val="0"/>
          <w:color w:val="3A4A28"/>
          <w:sz w:val="17"/>
        </w:rPr>
        <w:t>Blackstone Secured Lending Fund Company Overview and Portfolio Data -- BXSL.com,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BXSL Dividend Analysis, NAV Comparison, and Peer Benchmarking, 2026</w:t>
      </w:r>
    </w:p>
    <w:p>
      <w:pPr>
        <w:spacing w:before="20" w:after="20"/>
        <w:ind w:left="170"/>
      </w:pPr>
      <w:r>
        <w:rPr>
          <w:rFonts w:ascii="Calibri" w:hAnsi="Calibri"/>
          <w:b/>
          <w:color w:val="4A6B25"/>
          <w:sz w:val="15"/>
        </w:rPr>
        <w:t xml:space="preserve">4. </w:t>
      </w:r>
      <w:r>
        <w:rPr>
          <w:rFonts w:ascii="Calibri" w:hAnsi="Calibri"/>
          <w:b w:val="0"/>
          <w:color w:val="3A4A28"/>
          <w:sz w:val="17"/>
        </w:rPr>
        <w:t>BIS Quarterly Review / Forbes -- Private Credit AI Disruption Risk and BDC Market Dynamics,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BXSL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