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BX</w:t>
      </w:r>
      <w:r>
        <w:rPr>
          <w:rFonts w:ascii="Calibri" w:hAnsi="Calibri"/>
          <w:b/>
          <w:color w:val="1A2010"/>
          <w:sz w:val="40"/>
        </w:rPr>
        <w:t xml:space="preserve">  Blackstone Inc.</w:t>
      </w:r>
    </w:p>
    <w:p>
      <w:pPr>
        <w:spacing w:after="120"/>
      </w:pPr>
      <w:r>
        <w:rPr>
          <w:rFonts w:ascii="Calibri" w:hAnsi="Calibri"/>
          <w:b/>
          <w:color w:val="6E8450"/>
          <w:sz w:val="18"/>
        </w:rPr>
        <w:t>DIVIDEND SLEEVE · 2026-08-22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Blackstone is the world's largest alternative asset manager with $1.35 trillion in total AUM across private equity, real estate, credit &amp; insurance, and hedge fund solutions. Co-founded by Stephen Schwarzman and Pete Peterson in 1985, Blackstone has grown from a boutique advisory firm into a global financial powerhouse managing capital for institutional and individual investors. Q2 2026 distributable earnings rose 26% YoY to $2B, with fee-related earnings up 22% to $1.8B and nearly $70B in new inflows. Blackstone is one of the largest private investors in AI infrastructure, with significant data center, energy, and frontier AI company investments [1].</w:t>
      </w:r>
    </w:p>
    <w:p>
      <w:r>
        <w:rPr>
          <w:rFonts w:ascii="Calibri" w:hAnsi="Calibri"/>
          <w:b/>
          <w:color w:val="6E8450"/>
          <w:sz w:val="18"/>
        </w:rPr>
        <w:t>4,900 Employees · https://www.blackstone.com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Blackstone has significantly expanded its platform over the past 5 years, growing AUM from ~$880B to $1.35T through strategic diversification into data centers (QTS Realty, CoreWeave), insurance solutions, infrastructure, and credit [1]. The data center investment thesis, initiated by Schwarzman 8 years ago after a conversation with Jack Ma about AI's potential, demonstrates prescient long-term thinking that has generated outsized returns [2]. AI Deployment (1/2): Blackstone deploys data scientists, predictive analytics, and generative AI tools across its portfolio companies. Schwarzman insists portfolio company CEOs embrace AI in quarterly calls, driving adoption at scale across hundreds of companies [2]. However, BX does not generate direct AI product revenue — it is an AI investor and enabler. Market Share (2/2): Blackstone is the undisputed global leader in alternative asset management with $1.35T AUM — larger than Apollo, KKR, Carlyle, and other major competitors [1]. The firm holds dominant positions in real estate PE and is the fastest-growing platform in credit and infrastructure. Product Pipeline (1/2): Jon Gray has declared 2026 the 'year of the IPO' with dealmaking 'hitting escape velocity,' and the firm continues expanding its private wealth channel and infrastructure fund [1]. However, specific new fund launches with revenue visibility are not publicly detailed. R&amp;D Intensity (0/1): Financial services firms do not have traditional R&amp;D spending; Blackstone's technology investment, while significant, is not quantified as R&amp;D relative to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Blackstone's stated purpose centers on delivering superior returns while creating positive economic impact. This is clear and honest but ultimately financial — it does not articulate a vision of a better future beyond wealth generation. The firm's culture of excellence and meritocracy is well-established but not purpose-driven in Sinek's sense [2]. Community Impact (2/2): Stephen Schwarzman has personally committed over $500M to philanthropic causes aligned with education and leadership development, including $150M to Yale (Schwarzman Center), the Schwarzman Scholars program at Tsinghua University, and $100M+ to MIT's Schwarzman College of Computing [2]. These represent substantial, distinctive investments in human capital development. Employee Retention (1/2): Blackstone is known for competitive compensation and a stable senior leadership team — Schwarzman has led since 1985, Jon Gray since 2018 as president/COO. The firm's culture attracts top talent from banking and consulting, though no specific retention metrics are published. Insider Buying (0/2): No evidence of meaningful net open-market buying by executives. Schwarzman receives massive distributions (~$1.24B in 2025 compensation) as the firm's largest shareholder with 25%+ economic interest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Blackstone demonstrates broad financial strength across most infrastructure dimensions [4]. D/E of 68% is below the 70% target, scoring a perfect 1.0, reflecting conservative leverage for the firm's own balance sheet (separate from portfolio leverage) [4]. ROE of 31.37% significantly exceeds the 15% target, and profit margin of 22.73% surpasses the 20% target. Revenue growth is strong at ~15% YoY (fee revenues up 22% in Q2), and 5-year CAGR of ~13% exceeds the 10% target [1]. Forward P/E of 22.37 scores 0.94, slightly above the 20 target but well below the 60 floor. The primary drags are dividend-specific: payout ratio of 117.08% scores 0 (reflecting Blackstone's model of distributing nearly all earnings as variable distributions) and consecutive years of dividend growth at only 2 years due to the variable nature of distributions [4]. The 5-year dividend growth CAGR of approximately 5% scores 0.83. Liquidity is ample at ~$669M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Blackstone exhibits a blend of infinite and finite game characteristics. Schwarzman's 40-year leadership, early AI conviction (8 years before the market consensus), and platform diversification strategy demonstrate long-term thinking and strategic patience. However, Blackstone's fundamental purpose is financial returns — it exists to generate alpha for investors and distributions for shareholders. The firm's quarterly earnings focus, variable distribution model tied to short-term realizations, and growth-at-all-costs AUM expansion reflect finite game incentives embedded in the alternative asset management model.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Blackstone's purpose is generating superior returns and creating economic impact. While genuine, this is fundamentally financial — it does not describe a future state so appealing that people would sacrifice to advance it [2]. Schwarzman's personal philanthropic vision (education, computing, leadership development) is more compelling as a Just Cause than the firm's corporate mission, but it exists alongside rather than driving the firm's strategic decisions. The firm's culture of excellence and meritocracy is a competitive advantage, but not a Just Cause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Blackstone has maintained exceptional leadership stability — Schwarzman as CEO since 1985 and Jon Gray as president since 2018, with a well-planned succession process that Institutional Investor described as avoiding 'the usual Hunger Games' [2]. The firm's reputation for attracting and retaining top talent suggests functional internal trust. However, the competitive, performance-driven culture of alternative asset management, with compensation heavily tied to individual and fund performance, creates tension with Sinek's model of unconditional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Blackstone's competitive posture under Schwarzman demonstrates worthy rivals thinking. Rather than seeking to destroy competitors like Apollo, KKR, or Carlyle, Schwarzman has used their strengths to identify Blackstone's own development areas — studying Apollo's insurance platform to build Blackstone's credit business, observing KKR's infrastructure strategy to develop its own [2]. The firm's willingness to partner with Google (Gemini) and invest in frontier AI companies rather than building competing technology shows strategic humility.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Blackstone has meaningfully evolved from a PE-focused buyout shop into a diversified alternatives platform spanning real estate, credit, insurance, infrastructure, and now data center/AI infrastructure [1]. The pivot into data centers 8 years ago — when Schwarzman recognized AI's transformative potential after a conversation with Jack Ma — represents genuine strategic foresight and willingness to enter unfamiliar territory [2]. However, these are portfolio expansions within the same asset management model rather than fundamental reinventions of the business.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Schwarzman has consistently made costly, contrarian long-term bets. Going 'all in' on AI infrastructure 8 years ago, when data centers were an unfashionable asset class, required conviction to deploy billions against market consensus [2]. Building the world's largest alternative asset platform from a two-person advisory firm in 1985 to $1.35T AUM required decades of patient capital deployment through multiple market crises. Schwarzman's personal commitment of $500M+ to philanthropy — including the Schwarzman Scholars program training future leaders in US-China relations — demonstrates willingness to invest in causes with uncertain but long-term returns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Blackstone at $143.38 (22.4x forward earnings) offers exposure to the world's dominant alternative asset platform during a period of accelerating growth — Q2 2026 distributable earnings rose 26% YoY to $2B, fee-related earnings grew 22% to $1.8B, and AUM reached a record $1.35T on nearly $70B in inflows [1]. The firm's early, aggressive positioning in AI infrastructure (data centers, energy, frontier AI investments) provides a differentiated growth vector as global AI capex accelerates toward $1T+ annually. The 3.31% dividend yield, while variable, provides income supported by a business generating $2B+ in quarterly distributable earnings [4]. With Jon Gray as heir apparent and Schwarzman maintaining strategic vision, leadership continuity is well-managed. The fee-related earnings model provides stable, recurring revenue that grows with AUM regardless of market conditions.</w:t>
      </w:r>
    </w:p>
    <w:p>
      <w:pPr>
        <w:spacing w:after="120"/>
      </w:pPr>
      <w:r>
        <w:rPr>
          <w:rFonts w:ascii="Calibri" w:hAnsi="Calibri"/>
          <w:b w:val="0"/>
          <w:color w:val="3A4A28"/>
          <w:sz w:val="20"/>
        </w:rPr>
        <w:t>The bear case centers on valuation compression, cyclicality, and distribution sustainability. Forward P/E of 22.37 prices in significant continued growth — any AUM deceleration or realization drought could trigger multiple compression, as demonstrated by the stock's 23.5% decline over the past 52 weeks [4]. The 117% payout ratio reflects Blackstone's model of distributing nearly all earnings, but in a downturn, distributions could be cut significantly, as occurred in 2022-2023. Blackstone's GAAP revenue is highly volatile due to mark-to-market accounting on investment portfolios, making earnings quality difficult to assess. ESG controversies around fossil fuel investments and the firm's listing of anti-ESG backlash as a risk factor create reputational overhang [3]. The Inspire Impact Score of -67 (MISALIGNED) will limit allocation for faith-based investors. Private equity's broader regulatory scrutiny — including SEC focus on fee transparency and conflicts of interest — represents ongoing headline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infrastructure investment portfolio (data centers, energy, frontier companies) positions Blackstone as a primary beneficiary of the $1T+ global AI capex cycle, with data center investments already generating above-benchmark returns [1][2]</w:t>
      </w:r>
    </w:p>
    <w:p>
      <w:pPr>
        <w:spacing w:before="40" w:after="40"/>
        <w:ind w:left="283"/>
      </w:pPr>
      <w:r>
        <w:rPr>
          <w:rFonts w:ascii="Calibri" w:hAnsi="Calibri"/>
          <w:b/>
          <w:color w:val="4A6B25"/>
          <w:sz w:val="20"/>
        </w:rPr>
        <w:t xml:space="preserve">2. </w:t>
      </w:r>
      <w:r>
        <w:rPr>
          <w:rFonts w:ascii="Calibri" w:hAnsi="Calibri"/>
          <w:b w:val="0"/>
          <w:color w:val="3A4A28"/>
          <w:sz w:val="20"/>
        </w:rPr>
        <w:t>Jon Gray's 'year of the IPO' call for 2026 could unlock significant realization revenue from portfolio companies, driving distributable earnings growth and potentially $2+ quarterly EPS [1]</w:t>
      </w:r>
    </w:p>
    <w:p>
      <w:pPr>
        <w:spacing w:before="40" w:after="40"/>
        <w:ind w:left="283"/>
      </w:pPr>
      <w:r>
        <w:rPr>
          <w:rFonts w:ascii="Calibri" w:hAnsi="Calibri"/>
          <w:b/>
          <w:color w:val="4A6B25"/>
          <w:sz w:val="20"/>
        </w:rPr>
        <w:t xml:space="preserve">3. </w:t>
      </w:r>
      <w:r>
        <w:rPr>
          <w:rFonts w:ascii="Calibri" w:hAnsi="Calibri"/>
          <w:b w:val="0"/>
          <w:color w:val="3A4A28"/>
          <w:sz w:val="20"/>
        </w:rPr>
        <w:t>Nearly $70B in Q2 inflows demonstrates sustained LP demand for alternatives, and Blackstone's private wealth channel is expanding access to retail investors, providing a secular growth driver independent of institutional allocation cycles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52-week stock decline of 23.5% reflects market concern about growth sustainability at $1.35T AUM — the law of large numbers makes each incremental $100B in AUM harder to deploy effectively, and fee pressure from LP negotiations could compress margins [4]</w:t>
      </w:r>
    </w:p>
    <w:p>
      <w:pPr>
        <w:spacing w:before="40" w:after="40"/>
        <w:ind w:left="283"/>
      </w:pPr>
      <w:r>
        <w:rPr>
          <w:rFonts w:ascii="Calibri" w:hAnsi="Calibri"/>
          <w:b/>
          <w:color w:val="4A6B25"/>
          <w:sz w:val="20"/>
        </w:rPr>
        <w:t xml:space="preserve">2. </w:t>
      </w:r>
      <w:r>
        <w:rPr>
          <w:rFonts w:ascii="Calibri" w:hAnsi="Calibri"/>
          <w:b w:val="0"/>
          <w:color w:val="3A4A28"/>
          <w:sz w:val="20"/>
        </w:rPr>
        <w:t>Variable distribution model with 117% payout ratio means distributions are directly tied to realizations and performance fees, which can decline sharply in risk-off markets as experienced in 2022-2023 [4]</w:t>
      </w:r>
    </w:p>
    <w:p>
      <w:pPr>
        <w:spacing w:before="40" w:after="40"/>
        <w:ind w:left="283"/>
      </w:pPr>
      <w:r>
        <w:rPr>
          <w:rFonts w:ascii="Calibri" w:hAnsi="Calibri"/>
          <w:b/>
          <w:color w:val="4A6B25"/>
          <w:sz w:val="20"/>
        </w:rPr>
        <w:t xml:space="preserve">3. </w:t>
      </w:r>
      <w:r>
        <w:rPr>
          <w:rFonts w:ascii="Calibri" w:hAnsi="Calibri"/>
          <w:b w:val="0"/>
          <w:color w:val="3A4A28"/>
          <w:sz w:val="20"/>
        </w:rPr>
        <w:t>Regulatory and ESG headwinds — SEC scrutiny of private equity fee transparency, fossil fuel investment criticisms, and anti-ESG political backlash create reputational and operational risks that could affect capital raising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Blackstone's core business — alternative asset management — is fundamentally built on human relationships, trust, negotiation skill, and judgment-based capital allocation that AI cannot replicate. Sourcing deals, managing complex negotiations with counterparties, and maintaining institutional investor relationships require interpersonal capabilities that remain beyond AI's reach [2]. The firm manages $1.35T through a network of 4,900 professionals operating across opaque, illiquid markets where data is scarce and proprietary access matters more than algorithmic optimization. AI could enhance analytical capabilities (due diligence, portfolio monitoring, risk assessment), but the core deal-making and relationship model is structurally protected. The firm's early and aggressive AI adoption (Schwarzman's 8-year commitment) positions it to benefit from AI efficiency gains rather than be disrupted by them [2]. AI Opportunity (1/1): Blackstone is one of the largest private investors in AI infrastructure, with major positions in data centers (QTS Realty, CoreWeave investments), energy infrastructure for AI, and frontier AI companies [1][2]. While this generates investment returns rather than direct AI revenue, the capital deployed and returns generated are substantial and quantifiable.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Blackstone Q2 2026 Earnings — AUM $1.35T (+11% YoY), Distributable Earnings $2B (+26%), Fee-Related Earnings $1.8B (+22%), EPS $1.52 (beat $1.34 est.), Inflows ~$70B, July 2026</w:t>
      </w:r>
    </w:p>
    <w:p>
      <w:pPr>
        <w:spacing w:before="20" w:after="20"/>
        <w:ind w:left="170"/>
      </w:pPr>
      <w:r>
        <w:rPr>
          <w:rFonts w:ascii="Calibri" w:hAnsi="Calibri"/>
          <w:b/>
          <w:color w:val="4A6B25"/>
          <w:sz w:val="15"/>
        </w:rPr>
        <w:t xml:space="preserve">2. </w:t>
      </w:r>
      <w:r>
        <w:rPr>
          <w:rFonts w:ascii="Calibri" w:hAnsi="Calibri"/>
          <w:b w:val="0"/>
          <w:color w:val="3A4A28"/>
          <w:sz w:val="17"/>
        </w:rPr>
        <w:t>Blackstone AI Strategy &amp; Leadership — CEO Schwarzman's 8-Year AI Conviction, Data Center Investments, $500M+ Philanthropy, Portfolio Company AI Adoption — Institutional Investor, CNBC, Fortune, 2024-2026</w:t>
      </w:r>
    </w:p>
    <w:p>
      <w:pPr>
        <w:spacing w:before="20" w:after="20"/>
        <w:ind w:left="170"/>
      </w:pPr>
      <w:r>
        <w:rPr>
          <w:rFonts w:ascii="Calibri" w:hAnsi="Calibri"/>
          <w:b/>
          <w:color w:val="4A6B25"/>
          <w:sz w:val="15"/>
        </w:rPr>
        <w:t xml:space="preserve">3. </w:t>
      </w:r>
      <w:r>
        <w:rPr>
          <w:rFonts w:ascii="Calibri" w:hAnsi="Calibri"/>
          <w:b w:val="0"/>
          <w:color w:val="3A4A28"/>
          <w:sz w:val="17"/>
        </w:rPr>
        <w:t>Blackstone ESG Practices — Fossil Fuel Investment Concerns, Anti-ESG Risk Disclosure, Greenwashing Criticism — Private Equity Stakeholder Project, Axios,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Yahoo Finance — BX Key Statistics: Stock Price $143.38, Forward PE 22.37, ROE 31.37%, Dividend Yield 3.31%, Payout Ratio 117%, Avg Volume 4.7M,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