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CAPR</w:t>
      </w:r>
      <w:r>
        <w:rPr>
          <w:rFonts w:ascii="Calibri" w:hAnsi="Calibri"/>
          <w:b/>
          <w:color w:val="1A2010"/>
          <w:sz w:val="40"/>
        </w:rPr>
        <w:t xml:space="preserve">  Capricor Therapeutics, Inc.</w:t>
      </w:r>
    </w:p>
    <w:p>
      <w:pPr>
        <w:spacing w:after="120"/>
      </w:pPr>
      <w:r>
        <w:rPr>
          <w:rFonts w:ascii="Calibri" w:hAnsi="Calibri"/>
          <w:b/>
          <w:color w:val="6E8450"/>
          <w:sz w:val="18"/>
        </w:rPr>
        <w:t>GROWTH SLEEVE · 2026-07-28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Capricor Therapeutics is a clinical-stage biotechnology company developing transformative cell and exosome-based therapeutics. Its lead candidate, Deramiocel (CAP-1002), is an allogeneic cardiosphere-derived cell therapy for Duchenne muscular dystrophy (DMD). The BLA is under FDA review with a PDUFA target date of August 22, 2026. The company also develops its proprietary StealthX exosome platform for targeted delivery and vaccinology applications. Headquartered in San Diego, California.</w:t>
      </w:r>
    </w:p>
    <w:p>
      <w:r>
        <w:rPr>
          <w:rFonts w:ascii="Calibri" w:hAnsi="Calibri"/>
          <w:b/>
          <w:color w:val="6E8450"/>
          <w:sz w:val="18"/>
        </w:rPr>
        <w:t>231 Employees · https://www.capricor.com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Capricor advanced Deramiocel through Phase 3 clinical trials for DMD, achieving statistically significant benefit on the primary endpoint (PUL 2.0), and received Breakthrough Therapy designation from the FDA [1][2]. The BLA was filed, received a Complete Response Letter, was resubmitted, and accepted for review with PDUFA date of August 22, 2026. However, FDA briefing documents released ahead of the July 29 Advisory Committee meeting raised serious safety concerns — hypersensitivity reactions in 41.5% of Deramiocel patients vs 15.4% placebo, triggering a 67% stock decline [3]. AI Deployment (0/2): No evidence of AI-powered products or AI-driven cost savings; the company operates in traditional cell therapy development [2]. Market Share (1/2): Deramiocel, if approved, would be a first-in-class allogeneic cell therapy for DMD, addressing ~12,000 U.S. patients with limited treatment options — but approval probability has declined materially following the FDA safety concerns [3]. Product Pipeline (1/2): The StealthX exosome platform represents next-generation delivery technology with preclinical programs, though timelines remain vague and the company is effectively a single-product bet [2]. R&amp;D Intensity (1/1): R&amp;D spending exceeds revenue significantly, typical of clinical-stage biotech with active Phase 3 and BLA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Capricor's mission centers on developing life-changing therapies for patients with serious diseases, particularly the DMD community — a deeply purposeful cause validated by CEO Dr. Linda Marban's sustained leadership focus on a devastating childhood disease where patients have few alternatives [2]. Community Impact (1/2): The company actively engages with the DMD patient community through CureDuchenne partnerships and patient advocacy organizations, demonstrating genuine patient-centered community involvement [2]. Employee Retention (0/2): Glassdoor rating of 3.4/5 based on 29 reviews with only 52% recommending the workplace; reviews cite concerns about favoritism, hostile management culture, verbal abuse, and limited advancement paths, though other reviews describe a purposeful and collaborative environment [4]. Insider Buying (0/2): Significant insider selling by directors and officers in early 2026 — including $3.5M+ in aggregate sales ahead of the August PDUFA date — undermines insider conviction. No meaningful net insider buying by executives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Capricor is a pre-commercial clinical-stage biotech with Q1 2026 revenue of $9.4M (grants/collaborations) against a net loss of $33.94M [1]. D/E of approximately 5% reflects a conservative balance sheet funded primarily by equity raises. ROE is deeply negative at approximately -47% reflecting sustained operating losses. Profit margin is approximately -361% ($33.94M loss on $9.4M revenue). Cash of $279M as of March 31, 2026 provides runway into 2027 but is declining from $318M at year-end [1]. Forward P/E and PEG are unavailable due to negative earnings and uncertain FDA outcome — the 67% stock crash to approximately $7.00 following FDA safety concerns has dramatically altered the risk profile [3]. Scoring: D/E ~5% (1.0/1.0, 1x), ROE negative (0.0/1.0, 2x), Profit Margin -361% (0.0/1.0, 1x). Weighted sum 1.0/4 = 2.5, rounded to 3. Liquidity check: ~$7.00 x ~1,000,000 avg daily volume = ~$7M,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Capricor under Dr. Linda Marban demonstrates genuine purpose — 16+ years of persistent pursuit of a cell therapy for DMD patients despite repeated setbacks including an FDA Complete Response Letter. The company's commitment to rare disease patients reflects a Just Cause, but the organization lacks scale, cultural depth, and strategic breadth to score higher. The CEO's admission of being 'completely shocked' by FDA safety findings suggests possible preparation gaps in the most critical regulatory interaction of the company's existence.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Capricor's purpose — developing life-changing cell therapies for children with Duchenne muscular dystrophy — is genuine, specific, and validated by 16+ years of consistent pursuit under Dr. Marban's leadership [2]. The focus on a devastating rare disease where children lose the ability to walk and typically die in their 20s creates a deeply purposeful cause that goes beyond profit. However, the cause hasn't been tested through the kind of multi-product, multi-decade validation that earns top marks — the company remains single-product-focused and pre-commercial.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3.4/5 with only 52% recommending the workplace signals below-average organizational trust. Reviews describe a stark dichotomy — some cite a strong leadership team built on purpose and collaboration, while others report constant yelling and intimidation, verbal abuse, threats of termination, favoritism, and limited promotion paths [4]. The polarized reviews suggest leadership quality varies significantly across teams, and the negative reviews describe a low-trust environment that falls short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of Capricor acknowledging competitors' strengths or framing competition as motivation for self-improvement [2]. As a rare disease biotech with a potentially first-in-class therapy, the company operates more in a regulatory race than a competitive market, with limited rival engagement visible in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Capricor evolved from its original cardiac regeneration focus to DMD as the lead indication, and expanded into the StealthX exosome platform — demonstrating willingness to follow the science toward higher-value therapeutic opportunities [2]. However, these shifts are incremental extensions of cardiosphere-derived cell expertise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Marban's decision to persist through the FDA Complete Response Letter, raise over $300M to fund continued development, and resubmit the BLA demonstrates conviction in the face of regulatory adversity [1]. The company continued investing in R&amp;D while generating zero product revenue, prioritizing long-term drug development over short-term financial metrics. However, the CEO's admission of being 'completely shocked' by FDA safety findings raises questions about regulatory preparation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Capricor Therapeutics represents a high-risk binary biotech opportunity centered on the FDA review of Deramiocel for Duchenne muscular dystrophy, with the PDUFA target date of August 22, 2026 as the defining catalyst [1]. The Phase 3 HOPE-3 trial demonstrated statistically significant benefit on the primary endpoint (PUL 2.0), and if approved, Deramiocel would be a first-in-class allogeneic cell therapy addressing ~12,000 U.S. DMD patients with limited treatment alternatives [2]. The company holds $279M in cash as of Q1 2026, sufficient to fund a commercial launch [1]. The StealthX exosome platform adds pipeline optionality beyond DMD. At approximately $405M market cap post-crash (roughly 1.5x cash), the stock prices in significant skepticism — if the FDA Advisory Committee vote is favorable and approval follows, the upside is substantial.</w:t>
      </w:r>
    </w:p>
    <w:p>
      <w:pPr>
        <w:spacing w:after="120"/>
      </w:pPr>
      <w:r>
        <w:rPr>
          <w:rFonts w:ascii="Calibri" w:hAnsi="Calibri"/>
          <w:b w:val="0"/>
          <w:color w:val="3A4A28"/>
          <w:sz w:val="20"/>
        </w:rPr>
        <w:t>The bear case has strengthened materially since the FDA briefing documents were released ahead of the July 29 Advisory Committee meeting. Hypersensitivity reactions occurred in 41.5% of Deramiocel patients vs 15.4% placebo, a safety signal that CEO Marban described as 'completely shocking' [3]. The 67% stock decline from approximately $19.69 to approximately $7.00 reflects the market's reassessment of approval probability. Even with approval, the safety label could be severe enough to limit commercial uptake. The prior Complete Response Letter already demonstrated FDA execution challenges, and the resubmission acceptance does not guarantee approval [1]. Significant insider selling by executives in early 2026 ($3.5M+ in aggregate) ahead of the PDUFA date undermines confidence in management conviction [5]. Cash of $279M is declining at ~$34M/quarter burn rate, providing runway into 2027 but insufficient for a prolonged regulatory delay. The DMD patient population of ~12,000 limits peak revenue potential even in an approval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Advisory Committee meeting July 29 and PDUFA target date August 22, 2026 — a favorable outcome would make Deramiocel first-in-class for DMD and potentially drive significant stock recovery from post-crash levels [1][3]</w:t>
      </w:r>
    </w:p>
    <w:p>
      <w:pPr>
        <w:spacing w:before="40" w:after="40"/>
        <w:ind w:left="283"/>
      </w:pPr>
      <w:r>
        <w:rPr>
          <w:rFonts w:ascii="Calibri" w:hAnsi="Calibri"/>
          <w:b/>
          <w:color w:val="4A6B25"/>
          <w:sz w:val="20"/>
        </w:rPr>
        <w:t xml:space="preserve">2. </w:t>
      </w:r>
      <w:r>
        <w:rPr>
          <w:rFonts w:ascii="Calibri" w:hAnsi="Calibri"/>
          <w:b w:val="0"/>
          <w:color w:val="3A4A28"/>
          <w:sz w:val="20"/>
        </w:rPr>
        <w:t>StealthX exosome platform advancement into clinical-stage programs could diversify the pipeline beyond the binary Deramiocel outcome [2]</w:t>
      </w:r>
    </w:p>
    <w:p>
      <w:pPr>
        <w:spacing w:before="40" w:after="40"/>
        <w:ind w:left="283"/>
      </w:pPr>
      <w:r>
        <w:rPr>
          <w:rFonts w:ascii="Calibri" w:hAnsi="Calibri"/>
          <w:b/>
          <w:color w:val="4A6B25"/>
          <w:sz w:val="20"/>
        </w:rPr>
        <w:t xml:space="preserve">3. </w:t>
      </w:r>
      <w:r>
        <w:rPr>
          <w:rFonts w:ascii="Calibri" w:hAnsi="Calibri"/>
          <w:b w:val="0"/>
          <w:color w:val="3A4A28"/>
          <w:sz w:val="20"/>
        </w:rPr>
        <w:t>Post-crash valuation at approximately 1.5x cash creates asymmetric upside if the FDA safety concerns are manageable and the Advisory Committee vote is favorable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safety concerns — 41.5% hypersensitivity rate vs 15.4% placebo in HOPE-3 could result in rejection, restrictive labeling (REMS), or significant commercial limitations even if approved [3]</w:t>
      </w:r>
    </w:p>
    <w:p>
      <w:pPr>
        <w:spacing w:before="40" w:after="40"/>
        <w:ind w:left="283"/>
      </w:pPr>
      <w:r>
        <w:rPr>
          <w:rFonts w:ascii="Calibri" w:hAnsi="Calibri"/>
          <w:b/>
          <w:color w:val="4A6B25"/>
          <w:sz w:val="20"/>
        </w:rPr>
        <w:t xml:space="preserve">2. </w:t>
      </w:r>
      <w:r>
        <w:rPr>
          <w:rFonts w:ascii="Calibri" w:hAnsi="Calibri"/>
          <w:b w:val="0"/>
          <w:color w:val="3A4A28"/>
          <w:sz w:val="20"/>
        </w:rPr>
        <w:t>Binary regulatory risk with prior CRL history — any negative Advisory Committee vote or PDUFA outcome would be devastating at $0 product revenue and $34M/quarter cash burn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by executives in early 2026 ($3.5M+ aggregate) ahead of the most critical regulatory event in the company's history signals potential insider caution about the outcome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Capricor's core business — developing allogeneic cell therapies and exosome-based biologics — is fundamentally immune to AI disruption [2]. Cell therapy manufacturing, FDA regulatory processes, and clinical development for rare diseases require physical-world operations, wet lab research, and deeply regulated approval pathways that AI cannot replace. The cardiosphere-derived cell platform involves biological manufacturing of living cells, clinical trial execution with human patients, and navigating FDA regulatory review — all physical processes with no digital substitution pathway. AI may modestly accelerate competitor drug discovery timelines but cannot substitute Capricor's specific cell therapy expertise, manufacturing know-how, or regulatory data package. AI Opportunity (0/1): No evidence of AI-generated revenue or AI-powered therapeutic products; the company's approach is biology-driven rather than computationally driven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Capricor Therapeutics Q1 2026 10-Q Filing — $9.4M revenue, $33.94M net loss, $279M cash, May 2026</w:t>
      </w:r>
    </w:p>
    <w:p>
      <w:pPr>
        <w:spacing w:before="20" w:after="20"/>
        <w:ind w:left="170"/>
      </w:pPr>
      <w:r>
        <w:rPr>
          <w:rFonts w:ascii="Calibri" w:hAnsi="Calibri"/>
          <w:b/>
          <w:color w:val="4A6B25"/>
          <w:sz w:val="15"/>
        </w:rPr>
        <w:t xml:space="preserve">2. </w:t>
      </w:r>
      <w:r>
        <w:rPr>
          <w:rFonts w:ascii="Calibri" w:hAnsi="Calibri"/>
          <w:b w:val="0"/>
          <w:color w:val="3A4A28"/>
          <w:sz w:val="17"/>
        </w:rPr>
        <w:t>Capricor Therapeutics corporate website — Deramiocel BLA, Phase 3 HOPE-3 results, StealthX platform, leadership team,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Capricor Comments on FDA Briefing Materials — 41.5% hypersensitivity rate, CEO 'completely shocked', 67% stock decline, GlobeNewsWire, July 27, 2026</w:t>
      </w:r>
    </w:p>
    <w:p>
      <w:pPr>
        <w:spacing w:before="20" w:after="20"/>
        <w:ind w:left="170"/>
      </w:pPr>
      <w:r>
        <w:rPr>
          <w:rFonts w:ascii="Calibri" w:hAnsi="Calibri"/>
          <w:b/>
          <w:color w:val="4A6B25"/>
          <w:sz w:val="15"/>
        </w:rPr>
        <w:t xml:space="preserve">4. </w:t>
      </w:r>
      <w:r>
        <w:rPr>
          <w:rFonts w:ascii="Calibri" w:hAnsi="Calibri"/>
          <w:b w:val="0"/>
          <w:color w:val="3A4A28"/>
          <w:sz w:val="17"/>
        </w:rPr>
        <w:t>Capricor Therapeutics Glassdoor Reviews (3.4/5, 29 reviews, 52% recommend) — glassdoor.com,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EDGAR — Capricor Therapeutics Form 4 insider transaction filings, March-April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