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CBRE</w:t>
      </w:r>
      <w:r>
        <w:rPr>
          <w:rFonts w:ascii="Calibri" w:hAnsi="Calibri"/>
          <w:b/>
          <w:color w:val="1A2010"/>
          <w:sz w:val="40"/>
        </w:rPr>
        <w:t xml:space="preserve">  CBRE Group, Inc.</w:t>
      </w:r>
    </w:p>
    <w:p>
      <w:pPr>
        <w:spacing w:after="120"/>
      </w:pPr>
      <w:r>
        <w:rPr>
          <w:rFonts w:ascii="Calibri" w:hAnsi="Calibri"/>
          <w:b/>
          <w:color w:val="6E8450"/>
          <w:sz w:val="18"/>
        </w:rPr>
        <w:t>GROWTH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CBRE Group is the world's largest commercial real estate services and investment firm, providing advisory, building operations &amp; experience (BOE), project management, and investment management services across 100+ countries. The company reported record 2025 revenue of $40.6B (up 13.4% YoY) with Core EPS of $6.38. Q1 2026 services segments grew revenue 20% and operating profit nearly 30%, with 2026 Core EPS guidance of $7.30-$7.60.</w:t>
      </w:r>
    </w:p>
    <w:p>
      <w:r>
        <w:rPr>
          <w:rFonts w:ascii="Calibri" w:hAnsi="Calibri"/>
          <w:b/>
          <w:color w:val="6E8450"/>
          <w:sz w:val="18"/>
        </w:rPr>
        <w:t>155,000 Employees · https://www.cbre.com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CBRE has expanded from traditional brokerage into a diversified platform — the BOE segment now generates $26B+ in contractual recurring revenue, and the Turner &amp; Townsend acquisition (2021) transformed project management capabilities [1]. Data center services emerged as a major growth engine amid AI infrastructure demand. These are strategic pivots that opened substantial new revenue streams. AI Deployment (2/2): CBRE deployed AI with measurable results — 25% reduction in manual lease processing times, AI-powered predictive maintenance, and enhanced investment modeling using machine learning across 39 billion proprietary data points from 300 sources [2]. Strategic Nvidia partnership for AI infrastructure. Market Share (2/2): CBRE is the undisputed #1 global commercial real estate services firm with $40.6B in 2025 revenue, significantly larger than JLL (~$23B) and Cushman &amp; Wakefield (~$9B) [1]. Dominant share across advisory, property management, and investment management. Product Pipeline (1/2): Q1 2026 showed 20% revenue growth and ~30% operating profit growth across services segments, validating continued expansion [3]. Data center and AI infrastructure services provide strong visibility. R&amp;D Intensity (1/1): CBRE's technology investment is above industry average for CRE services — Chief Technology &amp; Transformation Officer role (McKinsey AI veteran Anuj Kadyan), Nvidia partnership, and proprietary data analytics platform demonstrate top-quartile tech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CBRE's purpose centers on being the world's leading real estate platform, creating value through expertise and technology — clear and professional but oriented toward market leadership rather than a transformative purpose beyond commercial real estate. Community Impact (2/2): CBRE reduced absolute GHG emissions 18% since 2019, published a Climate Transition Strategy (May 2026) targeting net zero by 2040, achieved CDP A- climate disclosure score, and earned Forbes Net Zero Leaders recognition as the highest-ranked CRE services company [4]. Chief Responsibility Officer reports directly to CEO. Employee Retention (1/2): CBRE created a Chief Culture Officer overseeing ethics &amp; compliance, diversity, and succession planning [2]. The company employs 155,000+ professionals globally with 3.9/5 Glassdoor rating across 15,000+ reviews and 76% recommending the company. CEO Sulentic's 14-year tenure provides leadership stability. Insider Buying (1/2): Net insider buying of 303,096 shares in the prior 6-month period across 20 transactions signaled management conviction [5], though more recent insider activity data was not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CBRE's standout metrics are Forward P/E of 16.1x and PEG of 0.95, reflecting attractive valuation relative to double-digit earnings growth — 2026 guidance of $7.30-$7.60 Core EPS represents 17% growth at midpoint [1][3]. ROE of 15.6% meets the 15% target. Revenue growth is exceptional: 13.4% YoY and 12.6% 5-year CAGR, both exceeding the 10% target [5]. D/E of 96% is above the 70% ideal but comfortably within range. The key weakness is a structurally low net profit margin of 3.4%, far below the 20% target — typical for a services business with $40B+ in pass-through revenue from facilities management contracts. Free cash flow of ~$1.7B and capital-light model partially offset the margin concern [1]. Liquidity floor easily cleared: 1.84M avg volume x $139.53 = $256.7M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CBRE under Bob Sulentic demonstrates meaningful infinite game characteristics — 14 years of consistent leadership through three market cycles, aggressive technology investment, and ESG leadership with a credible Net Zero 2040 commitment. The company plays to endure as the dominant global CRE platform rather than to win any single quarter, though the services industry's quarterly transaction focus and thin margins create inherent tension with pure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CBRE's purpose — to be the world's leading and most trusted real estate platform — is genuine and validated by 14 years of consistent execution under Sulentic and strategic decisions to invest in technology and sustainability even when not demanded by clients [1][4]. The purpose has shaped strategic decisions including the BOE buildout, Turner &amp; Townsend acquisition, and AI investment. However, it remains a business aspiration more than a transformative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CBRE's 3.9/5 Glassdoor rating across 15,000+ reviews with 76% recommending the company suggests adequate organizational health [2]. CEO Sulentic's 14-year tenure and internal CTO appointments signal leadership continuity. The Chief Culture Officer role overseeing ethics and succession planning demonstrates institutional investment. However, the 68% positive outlook and inherent high turnover in large services firms limit this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CBRE acknowledges JLL and Cushman &amp; Wakefield as worthy competitors whose strengths drive improvement. The company invested in AI and technology partially in response to JLL's digital platform advances and emerging proptech competitors [2]. Management frames competition as motivation to invest in capabilities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CBRE evolved from traditional brokerage into an integrated services platform with BOE ($26B+ recurring revenue), investment management, project management (Turner &amp; Townsend), and now data center services [1]. The 2026 CTO hire from McKinsey signals willingness to transform through AI. These are meaningful but incremental evolutions within commercial real estate rather than existential pivots.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Bob Sulentic made multiple courageous long-term bets — investing heavily in the BOE platform that now generates contractual recurring revenue; committing to net zero by 2040 with verifiable interim targets (18% absolute emissions reduction by 2024); hiring a McKinsey AI partner as CTO to drive digital transformation during uncertainty; and the bold Turner &amp; Townsend acquisition to build project management capabilities [2][4]. The company invested in technology and sustainability through real estate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CBRE is the undisputed global leader in commercial real estate services, generating record 2025 revenue of $40.6B (up 13.4% YoY) with a powerful growth trajectory — Q1 2026 services segments grew revenue 20% and operating profit nearly 30% [1][3]. At a PEG of 0.95 and Forward P/E of 16.1x with 17% Core EPS growth guided for 2026 ($7.30-$7.60), CBRE offers a rare combination of scale dominance and growth acceleration in a capital-light model. The aggressive AI strategy leveraging 39 billion proprietary data points and strategic Nvidia partnership positions CBRE to widen its competitive moat [2].</w:t>
      </w:r>
    </w:p>
    <w:p>
      <w:pPr>
        <w:spacing w:after="120"/>
      </w:pPr>
      <w:r>
        <w:rPr>
          <w:rFonts w:ascii="Calibri" w:hAnsi="Calibri"/>
          <w:b w:val="0"/>
          <w:color w:val="3A4A28"/>
          <w:sz w:val="20"/>
        </w:rPr>
        <w:t>The bear case centers on structural and cyclical risks. CBRE's 3.4% net profit margin reflects pass-through revenue from facilities management and creates minimal buffer during downturns [5]. D/E of 96% is manageable but above ideal. The Advisory segment faces genuine AI disruption risk — automated lease abstraction and AI-powered market analysis could compress advisory margins. A commercial real estate slowdown from higher interest rates or declining office demand would disproportionately impact the higher-margin Advisory segment. The company pays no dividend, limiting downside protection. However, the transformation from transaction-dependent brokerage to a diversified platform with $26B+ in recurring BOE revenue significantly de-risks the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Core EPS guidance of $7.30-$7.60 (17% growth) supported by Q1 2026 momentum showing 20% services revenue growth and ~30% operating profit growth [3]</w:t>
      </w:r>
    </w:p>
    <w:p>
      <w:pPr>
        <w:spacing w:before="40" w:after="40"/>
        <w:ind w:left="283"/>
      </w:pPr>
      <w:r>
        <w:rPr>
          <w:rFonts w:ascii="Calibri" w:hAnsi="Calibri"/>
          <w:b/>
          <w:color w:val="4A6B25"/>
          <w:sz w:val="20"/>
        </w:rPr>
        <w:t xml:space="preserve">2. </w:t>
      </w:r>
      <w:r>
        <w:rPr>
          <w:rFonts w:ascii="Calibri" w:hAnsi="Calibri"/>
          <w:b w:val="0"/>
          <w:color w:val="3A4A28"/>
          <w:sz w:val="20"/>
        </w:rPr>
        <w:t>Data center services expansion driven by explosive AI infrastructure demand, with CBRE uniquely positioned as the #1 global CRE firm for site selection, project management, and facilities management</w:t>
      </w:r>
    </w:p>
    <w:p>
      <w:pPr>
        <w:spacing w:before="40" w:after="40"/>
        <w:ind w:left="283"/>
      </w:pPr>
      <w:r>
        <w:rPr>
          <w:rFonts w:ascii="Calibri" w:hAnsi="Calibri"/>
          <w:b/>
          <w:color w:val="4A6B25"/>
          <w:sz w:val="20"/>
        </w:rPr>
        <w:t xml:space="preserve">3. </w:t>
      </w:r>
      <w:r>
        <w:rPr>
          <w:rFonts w:ascii="Calibri" w:hAnsi="Calibri"/>
          <w:b w:val="0"/>
          <w:color w:val="3A4A28"/>
          <w:sz w:val="20"/>
        </w:rPr>
        <w:t>AI transformation under CTO Anuj Kadyan leveraging 39 billion proprietary data points to create differentiated technology-driven services and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cyclical risk — higher interest rates or declining office demand from remote work trends could stall transaction recovery and compress Advisory revenue [1]</w:t>
      </w:r>
    </w:p>
    <w:p>
      <w:pPr>
        <w:spacing w:before="40" w:after="40"/>
        <w:ind w:left="283"/>
      </w:pPr>
      <w:r>
        <w:rPr>
          <w:rFonts w:ascii="Calibri" w:hAnsi="Calibri"/>
          <w:b/>
          <w:color w:val="4A6B25"/>
          <w:sz w:val="20"/>
        </w:rPr>
        <w:t xml:space="preserve">2. </w:t>
      </w:r>
      <w:r>
        <w:rPr>
          <w:rFonts w:ascii="Calibri" w:hAnsi="Calibri"/>
          <w:b w:val="0"/>
          <w:color w:val="3A4A28"/>
          <w:sz w:val="20"/>
        </w:rPr>
        <w:t>Structurally thin 3.4% net profit margin provides minimal buffer during downturns, and trailing P/E of 28x prices in significant earnings recovery [5]</w:t>
      </w:r>
    </w:p>
    <w:p>
      <w:pPr>
        <w:spacing w:before="40" w:after="40"/>
        <w:ind w:left="283"/>
      </w:pPr>
      <w:r>
        <w:rPr>
          <w:rFonts w:ascii="Calibri" w:hAnsi="Calibri"/>
          <w:b/>
          <w:color w:val="4A6B25"/>
          <w:sz w:val="20"/>
        </w:rPr>
        <w:t xml:space="preserve">3. </w:t>
      </w:r>
      <w:r>
        <w:rPr>
          <w:rFonts w:ascii="Calibri" w:hAnsi="Calibri"/>
          <w:b w:val="0"/>
          <w:color w:val="3A4A28"/>
          <w:sz w:val="20"/>
        </w:rPr>
        <w:t>AI disruption of Advisory segment — automated lease abstraction, valuation, and market research could compress high-margin advisory fees even as CBRE adopts AI internally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CBRE's core business — advising on complex real estate transactions, managing physical properties, and overseeing construction projects — requires deep local market knowledge, relationship management, and physical presence that AI cannot readily replicate [2]. The BOE segment (155,000+ employees managing facilities) involves hands-on physical services largely immune to AI displacement. However, AI could automate portions of property valuation, lease administration, and market research that currently employ significant headcount in the Advisory segment. Automated lease abstraction and AI-powered market analysis represent genuine margin compression risk for advisory fees. Real estate tech startups remain a modest long-term threat to commoditized services. AI Opportunity (1/1): CBRE actively deploys AI as a competitive weapon — 25% reduction in lease processing times, predictive maintenance, investment modeling leveraging 39 billion proprietary data points, and a strategic Nvidia partnership [2]. The CTO hire from McKinsey signals significant AI monetization ambitions, and CBRE's proprietary data moat reinforces its competitive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CBRE Group Q4 and Full Year 2025 Earnings Release — $40.6B revenue, Core EPS $6.38, $1.7B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CBRE AI Strategy and Leadership — CTO Anuj Kadyan, 39B data points, Nvidia partnership, Glassdoor 3.9/5; CIO, CoStar News, Ragan Communications 2025-2026</w:t>
      </w:r>
    </w:p>
    <w:p>
      <w:pPr>
        <w:spacing w:before="20" w:after="20"/>
        <w:ind w:left="170"/>
      </w:pPr>
      <w:r>
        <w:rPr>
          <w:rFonts w:ascii="Calibri" w:hAnsi="Calibri"/>
          <w:b/>
          <w:color w:val="4A6B25"/>
          <w:sz w:val="15"/>
        </w:rPr>
        <w:t xml:space="preserve">3. </w:t>
      </w:r>
      <w:r>
        <w:rPr>
          <w:rFonts w:ascii="Calibri" w:hAnsi="Calibri"/>
          <w:b w:val="0"/>
          <w:color w:val="3A4A28"/>
          <w:sz w:val="17"/>
        </w:rPr>
        <w:t>CBRE Group Q1 2026 Earnings Release (Form 8-K) — 20% services revenue growth, ~30% operating profit growth, April 2026</w:t>
      </w:r>
    </w:p>
    <w:p>
      <w:pPr>
        <w:spacing w:before="20" w:after="20"/>
        <w:ind w:left="170"/>
      </w:pPr>
      <w:r>
        <w:rPr>
          <w:rFonts w:ascii="Calibri" w:hAnsi="Calibri"/>
          <w:b/>
          <w:color w:val="4A6B25"/>
          <w:sz w:val="15"/>
        </w:rPr>
        <w:t xml:space="preserve">4. </w:t>
      </w:r>
      <w:r>
        <w:rPr>
          <w:rFonts w:ascii="Calibri" w:hAnsi="Calibri"/>
          <w:b w:val="0"/>
          <w:color w:val="3A4A28"/>
          <w:sz w:val="17"/>
        </w:rPr>
        <w:t>CBRE Climate Transition Strategy May 2026; Corporate Responsibility Report 2023 — 18% GHG reduction, Net Zero 2040, CDP A-</w:t>
      </w:r>
    </w:p>
    <w:p>
      <w:pPr>
        <w:spacing w:before="20" w:after="20"/>
        <w:ind w:left="170"/>
      </w:pPr>
      <w:r>
        <w:rPr>
          <w:rFonts w:ascii="Calibri" w:hAnsi="Calibri"/>
          <w:b/>
          <w:color w:val="4A6B25"/>
          <w:sz w:val="15"/>
        </w:rPr>
        <w:t xml:space="preserve">5. </w:t>
      </w:r>
      <w:r>
        <w:rPr>
          <w:rFonts w:ascii="Calibri" w:hAnsi="Calibri"/>
          <w:b w:val="0"/>
          <w:color w:val="3A4A28"/>
          <w:sz w:val="17"/>
        </w:rPr>
        <w:t>StockAnalysis.com, MacroTrends, FinanceCharts — CBRE key statistics, PEG ratio, revenue CAGR,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