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CCAP</w:t>
      </w:r>
      <w:r>
        <w:rPr>
          <w:rFonts w:ascii="Calibri" w:hAnsi="Calibri"/>
          <w:b/>
          <w:color w:val="1A2010"/>
          <w:sz w:val="40"/>
        </w:rPr>
        <w:t xml:space="preserve">  Crescent Capital BDC, Inc.</w:t>
      </w:r>
    </w:p>
    <w:p>
      <w:pPr>
        <w:spacing w:after="120"/>
      </w:pPr>
      <w:r>
        <w:rPr>
          <w:rFonts w:ascii="Calibri" w:hAnsi="Calibri"/>
          <w:b/>
          <w:color w:val="6E8450"/>
          <w:sz w:val="18"/>
        </w:rPr>
        <w:t>DIVIDEND SLEEVE · 2026-07-31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Asset Management &amp; BDC · NASDAQ · United States</w:t>
      </w:r>
    </w:p>
    <w:p>
      <w:pPr>
        <w:spacing w:after="80"/>
      </w:pPr>
      <w:r>
        <w:rPr>
          <w:rFonts w:ascii="Calibri" w:hAnsi="Calibri"/>
          <w:b w:val="0"/>
          <w:color w:val="3A4A28"/>
          <w:sz w:val="20"/>
        </w:rPr>
        <w:t>Crescent Capital BDC, Inc. is a specialty finance company focused on originating and investing in the debt of private U.S. middle-market companies, seeking to maximize total return through current income and capital appreciation. Externally managed by Crescent Cap Advisors, LLC, a subsidiary of Crescent Capital Group LP (51% owned by Sun Life Financial as of March 2026). Portfolio of approximately $1.56B across 192 companies, primarily first lien senior secured loans. Listed on NASDAQ in 2020, headquartered in Los Angeles.</w:t>
      </w:r>
    </w:p>
    <w:p>
      <w:r>
        <w:rPr>
          <w:rFonts w:ascii="Calibri" w:hAnsi="Calibri"/>
          <w:b/>
          <w:color w:val="6E8450"/>
          <w:sz w:val="18"/>
        </w:rPr>
        <w:t>250 Employees · https://www.crescentbdc.com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CCAP has grown from its 2020 NASDAQ listing to a $1.56B portfolio, nearly doubling in size, and absorbed another BDC via merger — representing incremental business extension through capital deployment, not product innovation [1][5]. The company is a financial intermediary that deploys investor capital into middle-market loans; there is no product development or market-creating activity. AI Deployment (0/2): No evidence of AI-powered products, AI-driven underwriting, or quantified AI cost savings in CCAP's operations. Credit analysis and portfolio management remain relationship-driven and human-intensive. Market Share (0/2): CCAP is a mid-size BDC with $1.56B in assets. The BDC industry includes larger players like Ares Capital ($27B+), Owl Rock ($18B+), and Blackstone's BXSL ($10B+). CCAP is not a market share leader and does not define its category [5]. Product Pipeline (0/2): Not applicable — BDCs deploy capital, not products. There is no pipeline of new offerings or next-generation financial products. R&amp;D Intensity (0/1): No R&amp;D spending — this is a financial company, not a technology or product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CCAP's purpose statement — 'maximize total return to our stockholders through current income and long-term capital appreciation' — is a generic financial return objective interchangeable with any BDC or closed-end fund [5]. There is no articulated vision of a better future, no purpose beyond financial returns, and no differentiation from hundreds of competing investment vehicles. Community Impact (0/2): No evidence of charitable programs, foundation activity, or community investment by CCAP or its external manager Crescent Capital Group. Employee Retention (0/2): As an externally managed BDC, CCAP has no direct employees — investment professionals are employed by Crescent Capital Group (~250 employees globally). CEO Jason Breaux's 24-year tenure at Crescent suggests personal loyalty but provides no data on broader organizational retention [3]. Insider Buying (0/2): No insider buying data identified. Breaux and President Henry Chung were recently elevated to the CCAP board, but no net insider purchase transactions were disclosed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Q1 2026 net investment income of $0.42/share (core $0.38/share) declined from $0.45 in Q4 2025, driven by increasing non-accruals and base rate reductions as the FOMC continues cutting the federal funds rate [1][2]. Investment income of $37.9M with weighted average portfolio yield of 9.8% supports the dividend but with diminishing coverage — management voluntarily waived $0.04 of incentive fees to ensure full coverage of the $0.34 quarterly dividend [1]. NAV declined to $18.27 from $18.63, and the stock trades at a significant 39% discount to NAV at $11.20 [4]. Forward P/E of 7.90 scores maximum, and profit margin of 20.63% is strong for a BDC. D/E of 123.76% is moderate. However, zero consecutive years of dividend growth (recently cut from $0.42 to $0.34 base), only 5 years of dividend payment history, and 5yr dividend growth CAGR of 2.57% drag the dividend component scores. Liquidity passes: 247,780 avg daily volume at $11.20 = $2.78M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CCAP is a financial product that exists to generate returns through private lending — the definition of a finite player in Sinek's framework. The company optimizes for quarterly net investment income, dividend coverage, and NAV stability. There is no Just Cause, no vision beyond financial returns, and no evidence of leadership making courageous decisions that sacrifice short-term earnings for long-term capability. The voluntary fee reduction is shareholder-friendly but financially motivated, not purpose-driven.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CCAP's stated objective is 'to maximize total return to our stockholders through current income and long-term capital appreciation' — this is a financial return target, not a Just Cause [5]. There is no articulated vision of a future state worth sacrificing for, no purpose that transcends profit, and no mission that would inspire employees or investors beyond financial returns. Sinek would classify this as a textbook finite objective.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Jason Breaux has been at Crescent Capital Group for 24 years and has led CCAP since inception, demonstrating leadership continuity and organizational stability [3]. President Henry Chung provides a long-tenured co-leader. Sun Life's 2021-2026 acquisition of Crescent Capital Group (51% in 2021, remaining 49% in March 2026) introduces a stable institutional parent. However, as an externally managed vehicle, evaluating team trust at the entity level is inherently limited — the investment team works for Crescent Capital Group, not CCAP specifically.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CCAP's management acknowledging competitors' strengths or using competitive pressure for self-improvement. Investor communications focus on CCAP's own portfolio metrics (yield, coverage, NAV) rather than competitive positioning relative to Ares Capital, Owl Rock, or other BDC leaders. The framing is internally-focused rather than competitively aware.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CCAP has maintained the same business model since inception — originate first lien senior secured loans to U.S. middle-market companies. There has been no strategic pivot, business model transformation, or adaptation beyond incremental portfolio growth and the absorption of a smaller BDC [5]. The company's regulatory structure (BDC under the 40-Act) inherently limits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CCAP's board reduced the base management fee from 1.25% to 1.00% and incentive fee from 17.5% to 15.0% effective April 2026 — voluntarily cutting the external manager's revenue stream to improve alignment with shareholders [1]. This is a meaningful sacrifice of short-term fee income. Additionally, management waived $0.04 of incentive fees in Q1 2026 to ensure dividend coverage. While financially motivated rather than purpose-driven, these decisions prioritize long-term shareholder trust over near-term manager compensation.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CCAP offers a 12.14% dividend yield supported by a high-quality middle-market lending portfolio (97% first lien) with 5 years of consistent dividend payments and a recently reduced fee structure that improves shareholder alignment [1][4]. The Q1 2026 fee reduction (base fee 1.25% to 1.00%, incentive fee 17.5% to 15.0%) is a meaningfully positive governance action, and the $0.34 quarterly base dividend plus $0.03 special dividend provides $1.45 annualized income on an $11.20 stock [1]. Sun Life's acquisition of 100% of Crescent Capital Group provides institutional backing. At a 39% discount to NAV ($11.20 vs. $18.27), the stock offers margin of safety if credit quality stabilizes, and the forward P/E of 7.90 is the lowest among comparable BDCs [2][4].</w:t>
      </w:r>
    </w:p>
    <w:p>
      <w:pPr>
        <w:spacing w:after="120"/>
      </w:pPr>
      <w:r>
        <w:rPr>
          <w:rFonts w:ascii="Calibri" w:hAnsi="Calibri"/>
          <w:b w:val="0"/>
          <w:color w:val="3A4A28"/>
          <w:sz w:val="20"/>
        </w:rPr>
        <w:t>The bear case is substantial and drove the SELL recommendation under the IOWN framework. NII is declining as the FOMC cuts rates — core NII fell from $0.45 to $0.38/share sequentially in Q1 2026, and the board cut the base dividend 19% from $0.42 to $0.34, signaling management expects further earnings deterioration [1][2]. Non-accruals are rising, and NAV has declined to $18.27 from $18.63. The 39% discount to NAV may reflect the market pricing in further credit losses rather than representing a value opportunity. Revenue is estimated to be declining ~8% YoY as floating-rate loan yields compress with each FOMC cut. ROE of 6.70% is below the 15% target, and the company has zero years of consecutive dividend growth after the recent cut. The IOWN framework's emphasis on innovation, inspiration, and infinite game thinking inherently penalizes BDCs, which are financial vehicles optimized for yield rather than purpose-driven enterprises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of net investment income as FOMC rate cuts slow or pause, providing a floor for quarterly earnings and potentially enabling reinstatement of the higher $0.42 base dividend</w:t>
      </w:r>
    </w:p>
    <w:p>
      <w:pPr>
        <w:spacing w:before="40" w:after="40"/>
        <w:ind w:left="283"/>
      </w:pPr>
      <w:r>
        <w:rPr>
          <w:rFonts w:ascii="Calibri" w:hAnsi="Calibri"/>
          <w:b/>
          <w:color w:val="4A6B25"/>
          <w:sz w:val="20"/>
        </w:rPr>
        <w:t xml:space="preserve">2. </w:t>
      </w:r>
      <w:r>
        <w:rPr>
          <w:rFonts w:ascii="Calibri" w:hAnsi="Calibri"/>
          <w:b w:val="0"/>
          <w:color w:val="3A4A28"/>
          <w:sz w:val="20"/>
        </w:rPr>
        <w:t>Narrowing of the 39% discount to NAV as credit quality metrics stabilize and reduced fee structure improves total return attractiveness relative to BDC peers</w:t>
      </w:r>
    </w:p>
    <w:p>
      <w:pPr>
        <w:spacing w:before="40" w:after="40"/>
        <w:ind w:left="283"/>
      </w:pPr>
      <w:r>
        <w:rPr>
          <w:rFonts w:ascii="Calibri" w:hAnsi="Calibri"/>
          <w:b/>
          <w:color w:val="4A6B25"/>
          <w:sz w:val="20"/>
        </w:rPr>
        <w:t xml:space="preserve">3. </w:t>
      </w:r>
      <w:r>
        <w:rPr>
          <w:rFonts w:ascii="Calibri" w:hAnsi="Calibri"/>
          <w:b w:val="0"/>
          <w:color w:val="3A4A28"/>
          <w:sz w:val="20"/>
        </w:rPr>
        <w:t>Potential accretive portfolio growth funded by revolving credit facility as base rate compression creates opportunities to deploy capital at wider spreads on new originations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FOMC rate cuts compress floating-rate loan yields across the $1.56B portfolio, driving further NII declines below the $0.34 quarterly dividend threshold and forcing additional dividend reductions</w:t>
      </w:r>
    </w:p>
    <w:p>
      <w:pPr>
        <w:spacing w:before="40" w:after="40"/>
        <w:ind w:left="283"/>
      </w:pPr>
      <w:r>
        <w:rPr>
          <w:rFonts w:ascii="Calibri" w:hAnsi="Calibri"/>
          <w:b/>
          <w:color w:val="4A6B25"/>
          <w:sz w:val="20"/>
        </w:rPr>
        <w:t xml:space="preserve">2. </w:t>
      </w:r>
      <w:r>
        <w:rPr>
          <w:rFonts w:ascii="Calibri" w:hAnsi="Calibri"/>
          <w:b w:val="0"/>
          <w:color w:val="3A4A28"/>
          <w:sz w:val="20"/>
        </w:rPr>
        <w:t>Rising non-accruals in the middle-market lending portfolio could accelerate NAV erosion — the $18.27 NAV already declined $0.36 sequentially and further credit deterioration would widen the discount to NAV</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means investment decisions are made by Crescent Capital Group employees with fiduciary obligations to multiple funds, creating potential conflicts in deal allocation between CCAP and Crescent's larger private vehicles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CCAP's core business — originating and managing private credit investments in middle-market companies — requires relationship-driven deal sourcing, proprietary due diligence on non-public information, and judgment-intensive credit underwriting that AI augments but cannot replace [5]. Middle-market lending involves negotiating bespoke loan terms, monitoring covenant compliance through direct borrower relationships, and workout management during credit stress — all requiring human judgment and relationship capital. Regulatory requirements for BDCs (40-Act compliance, asset coverage ratios) add structural barriers to AI disruption. However, AI could improve credit scoring and portfolio monitoring for larger BDC competitors, potentially compressing Crescent's competitive advantage in credit selection. AI Opportunity (0/1): No evidence of AI-generated revenue or AI-powered products offered to investors or borrowers. CCAP's investment process remains human-driven with no disclosed AI tools contributing to underwriting or portfolio management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Crescent Capital BDC Q1 2026 Earnings Release — NII $0.42/Share, Fee Reduction, May 14, 2026</w:t>
      </w:r>
    </w:p>
    <w:p>
      <w:pPr>
        <w:spacing w:before="20" w:after="20"/>
        <w:ind w:left="170"/>
      </w:pPr>
      <w:r>
        <w:rPr>
          <w:rFonts w:ascii="Calibri" w:hAnsi="Calibri"/>
          <w:b/>
          <w:color w:val="4A6B25"/>
          <w:sz w:val="15"/>
        </w:rPr>
        <w:t xml:space="preserve">2. </w:t>
      </w:r>
      <w:r>
        <w:rPr>
          <w:rFonts w:ascii="Calibri" w:hAnsi="Calibri"/>
          <w:b w:val="0"/>
          <w:color w:val="3A4A28"/>
          <w:sz w:val="17"/>
        </w:rPr>
        <w:t>Crescent Capital BDC Q4 2025 Earnings Release — FY2025 NII $1.81/Share, February 26, 2026</w:t>
      </w:r>
    </w:p>
    <w:p>
      <w:pPr>
        <w:spacing w:before="20" w:after="20"/>
        <w:ind w:left="170"/>
      </w:pPr>
      <w:r>
        <w:rPr>
          <w:rFonts w:ascii="Calibri" w:hAnsi="Calibri"/>
          <w:b/>
          <w:color w:val="4A6B25"/>
          <w:sz w:val="15"/>
        </w:rPr>
        <w:t xml:space="preserve">3. </w:t>
      </w:r>
      <w:r>
        <w:rPr>
          <w:rFonts w:ascii="Calibri" w:hAnsi="Calibri"/>
          <w:b w:val="0"/>
          <w:color w:val="3A4A28"/>
          <w:sz w:val="17"/>
        </w:rPr>
        <w:t>Crescent Capital BDC Board Leadership Changes — CEO Breaux and President Chung Appointed Directors, May 2026</w:t>
      </w:r>
    </w:p>
    <w:p>
      <w:pPr>
        <w:spacing w:before="20" w:after="20"/>
        <w:ind w:left="170"/>
      </w:pPr>
      <w:r>
        <w:rPr>
          <w:rFonts w:ascii="Calibri" w:hAnsi="Calibri"/>
          <w:b/>
          <w:color w:val="4A6B25"/>
          <w:sz w:val="15"/>
        </w:rPr>
        <w:t xml:space="preserve">4. </w:t>
      </w:r>
      <w:r>
        <w:rPr>
          <w:rFonts w:ascii="Calibri" w:hAnsi="Calibri"/>
          <w:b w:val="0"/>
          <w:color w:val="3A4A28"/>
          <w:sz w:val="17"/>
        </w:rPr>
        <w:t>BDCInvestor.com — CCAP Dividend History, NAV, and Yield Analysis,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CCAP Financial Statistics and Valuation,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