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CCCC</w:t>
      </w:r>
      <w:r>
        <w:rPr>
          <w:rFonts w:ascii="Calibri" w:hAnsi="Calibri"/>
          <w:b/>
          <w:color w:val="1A2010"/>
          <w:sz w:val="40"/>
        </w:rPr>
        <w:t xml:space="preserve">  C4 Therapeutics, Inc.</w:t>
      </w:r>
    </w:p>
    <w:p>
      <w:pPr>
        <w:spacing w:after="120"/>
      </w:pPr>
      <w:r>
        <w:rPr>
          <w:rFonts w:ascii="Calibri" w:hAnsi="Calibri"/>
          <w:b/>
          <w:color w:val="6E8450"/>
          <w:sz w:val="18"/>
        </w:rPr>
        <w:t>GROWTH SLEEVE · 2026-07-19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C4 Therapeutics is a clinical-stage biopharmaceutical company advancing targeted protein degradation (TPD) science, using its TORPEDO platform to develop orally bioavailable degrader medicines for cancer targets of high unmet need. Headquartered in Watertown, Massachusetts, the company's lead candidate cemsidomide is in Phase 2 development for multiple myeloma, alongside CFT1946 for BRAF V600X solid tumors and CFT8919 for EGFR-mutant non-small cell lung cancer. A new 2026 collaboration with Roche extends the platform into degrader-antibody conjugates (DACs).</w:t>
      </w:r>
    </w:p>
    <w:p>
      <w:r>
        <w:rPr>
          <w:rFonts w:ascii="Calibri" w:hAnsi="Calibri"/>
          <w:b/>
          <w:color w:val="6E8450"/>
          <w:sz w:val="18"/>
        </w:rPr>
        <w:t>104 Employees · https://c4therapeutics.com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C4 Therapeutics finalized a new collaboration with Roche in 2026 focused on degrader-antibody conjugate (DAC) therapeutics, receiving a $20 million upfront payment in May 2026 — a meaningful platform-extension deal into a new therapeutic modality beyond its core small-molecule degraders [1][2]. AI Deployment (0/2): No specific AI-driven drug discovery capability or quantified AI-attributable efficiency gain was identified for the TORPEDO platform. Market Share (1/2): C4 is a credible but not dominant player in the targeted protein degradation field alongside more prominent peers such as Arvinas; the Roche deal signals platform validation without establishing category leadership. Product Pipeline (2/2): The company has clearly named, staged clinical programs with specific timelines — the Phase 2 MOMENTUM trial and a Phase 1b combination with elranatamab in multiple myeloma, plus a further Phase 1b combination trial expected to start in H1 2027 [2]. R&amp;D Intensity (1/1): As a clinical-stage biotech, R&amp;D dominates the cost structure, consistent with Q1 2026's $25.1 million net loss against only $6.2 million of revenue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C4's stated purpose of 'delivering targeted protein degradation science to create a new generation of medicines that transform patients' lives' is clear and identifies a specific scientific approach and patient benefit, but is not distinctive from the standard biotech mission template [1]. Community Impact (1/2): C4's public ESG disclosures reference patient advocacy and community engagement as a stated priority area, though without large-scale programs or specific dollar figures [3]. Employee Retention (0/2): While CEO Andrew Hirsch has led since September 2020, three of the four other senior executive roles — CSO (Oct 2024), CFO (Sept 2023), and CMO (July 2023) — turned over within the last three years, and no positive tenure or turnover data was found to offset this churn. Insider Buying (0/2): SEC filings show primarily option grants and awards to executives and directors rather than open-market discretionary purchases; no meaningful net insider buying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revenue growth figures are excluded as unreliable given lumpy, milestone-driven collaboration revenue, and Forward P/E and Forward PEG are unavailable for this unprofitable clinical-stage biotech). D/E of 25% scores a full 1.0 against the 70% target. ROE of -48.4% and profit margin of -297.8% both score 0.0, below the zero floor, reflecting the pre-commercial cost structure typical of clinical-stage biopharma [3]. The mechanical score does not capture balance-sheet quality directly, but for context: C4 held $268.3 million in cash, equivalents, and marketable securities as of Q1 2026, providing a runway management projects through the end of 2028 — a genuine credit strength the formula's available metrics do not weight [2]. Liquidity is well clear of the floor: $3.69 x 4.34M average daily volume ≈ $16.0M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C4 Therapeutics shows some infinite-game characteristics in its willingness to keep funding a multi-program pipeline and extend its platform into a new modality via Roche, but the evidence is thin on organizational trust — three of four non-CEO C-suite seats have turned over in the last three years — and its mission, while genuine, reads as standard biotech framing rather than a distinctively lived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C4's cause of using targeted protein degradation to reach cancer targets previously considered 'undruggable' is genuine and connects to a distinctive scientific platform (TORPEDO), and the company has pursued it consistently across three clinical programs, but it has not been tested through a multi-decade cycle or crisis, and framing is largely interchangeable with peer oncology biotechs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Three of the four senior non-CEO executive roles — Chief Scientific Officer (October 2024), Chief Financial Officer (September 2023), and Chief Medical Officer (July 2023) — have turned over within the past three years; with no offsetting evidence of long tenure or high employee satisfaction, this pattern of leadership churn is treated as a low-trust signal for a ~100-person organization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explicit evidence was found of C4 management publicly framing Arvinas, Kymera, or other protein-degradation competitors as worthy rivals whose strengths sharpen C4's own platform.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2026 Roche collaboration extends C4's platform from small-molecule degraders into degrader-antibody conjugates (DACs), a genuine but incremental expansion of the core technology rather than a wholesale business-model reinvention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continues to fund three parallel clinical programs (cemsidomide, CFT1946, CFT8919) and has committed to a new DAC modality despite a -297.8% profit margin and ongoing cash burn, prioritizing long-term pipeline breadth over near-term capital conservation, though this is a common posture for well-funded clinical biotechs rather than an unusually contrarian bet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C4 Therapeutics is a clinical-stage targeted protein degradation company advancing three named oncology programs — cemsidomide (Phase 2 MOMENTUM in multiple myeloma, plus a Phase 1b combination with elranatamab), CFT1946 (BRAF V600X solid tumors), and CFT8919 (EGFR-mutant NSCLC) — with a further Phase 1b combination trial expected to begin in H1 2027 [2]. The company finalized a new 2026 collaboration with Roche for degrader-antibody conjugates, receiving a $20 million upfront payment and validating the TORPEDO platform's applicability to a new modality [2]. With $268.3 million in cash as of Q1 2026 and management guidance of a runway through the end of 2028, C4 has multiple years to generate clinical readouts without an imminent financing need, and its low D/E of 25% reflects a conservative, equity-funded capital structure [2][3].</w:t>
      </w:r>
    </w:p>
    <w:p>
      <w:pPr>
        <w:spacing w:after="120"/>
      </w:pPr>
      <w:r>
        <w:rPr>
          <w:rFonts w:ascii="Calibri" w:hAnsi="Calibri"/>
          <w:b w:val="0"/>
          <w:color w:val="3A4A28"/>
          <w:sz w:val="20"/>
        </w:rPr>
        <w:t>The bear case centers on binary clinical risk and thin organizational stability. Q1 2026 revenue was just $6.2 million against a $25.1 million net loss, and the mechanical infrastructure score of 3 (WEAK) reflects deeply negative ROE (-48.4%) and profit margin (-297.8%) typical of pre-commercial biotech, though it understates the genuine balance-sheet cushion from the $268.3 million cash position [2][3]. Three of the four non-CEO C-suite roles have turned over in the past three years (CSO, CFO, CMO), which alongside no evidence of insider buying, raises questions about organizational continuity heading into pivotal trial readouts. Cemsidomide's Phase 2 outcome remains the primary value driver — a negative readout would eliminate the core investment thesis, and the company operates in a competitive field alongside Arvinas and Kymera Therapeutics.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Cemsidomide Phase 2 MOMENTUM data in multiple myeloma and readouts from the Phase 1b elranatamab combination trial</w:t>
      </w:r>
    </w:p>
    <w:p>
      <w:pPr>
        <w:spacing w:before="40" w:after="40"/>
        <w:ind w:left="283"/>
      </w:pPr>
      <w:r>
        <w:rPr>
          <w:rFonts w:ascii="Calibri" w:hAnsi="Calibri"/>
          <w:b/>
          <w:color w:val="4A6B25"/>
          <w:sz w:val="20"/>
        </w:rPr>
        <w:t xml:space="preserve">2. </w:t>
      </w:r>
      <w:r>
        <w:rPr>
          <w:rFonts w:ascii="Calibri" w:hAnsi="Calibri"/>
          <w:b w:val="0"/>
          <w:color w:val="3A4A28"/>
          <w:sz w:val="20"/>
        </w:rPr>
        <w:t>Roche degrader-antibody conjugate collaboration milestones following the $20 million May 2026 upfront payment, validating the DAC modality extension</w:t>
      </w:r>
    </w:p>
    <w:p>
      <w:pPr>
        <w:spacing w:before="40" w:after="40"/>
        <w:ind w:left="283"/>
      </w:pPr>
      <w:r>
        <w:rPr>
          <w:rFonts w:ascii="Calibri" w:hAnsi="Calibri"/>
          <w:b/>
          <w:color w:val="4A6B25"/>
          <w:sz w:val="20"/>
        </w:rPr>
        <w:t xml:space="preserve">3. </w:t>
      </w:r>
      <w:r>
        <w:rPr>
          <w:rFonts w:ascii="Calibri" w:hAnsi="Calibri"/>
          <w:b w:val="0"/>
          <w:color w:val="3A4A28"/>
          <w:sz w:val="20"/>
        </w:rPr>
        <w:t>CFT1946 (BRAF V600X) and CFT8919 (EGFR NSCLC) clinical progress providing value drivers independent of the lead cemsidomide program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risk — a negative Phase 2 readout for cemsidomide would remove the primary value driver with no approved products to fall back on</w:t>
      </w:r>
    </w:p>
    <w:p>
      <w:pPr>
        <w:spacing w:before="40" w:after="40"/>
        <w:ind w:left="283"/>
      </w:pPr>
      <w:r>
        <w:rPr>
          <w:rFonts w:ascii="Calibri" w:hAnsi="Calibri"/>
          <w:b/>
          <w:color w:val="4A6B25"/>
          <w:sz w:val="20"/>
        </w:rPr>
        <w:t xml:space="preserve">2. </w:t>
      </w:r>
      <w:r>
        <w:rPr>
          <w:rFonts w:ascii="Calibri" w:hAnsi="Calibri"/>
          <w:b w:val="0"/>
          <w:color w:val="3A4A28"/>
          <w:sz w:val="20"/>
        </w:rPr>
        <w:t>Executive turnover — CSO, CFO, and CMO have all changed within the last three years, creating continuity risk heading into pivotal trial readouts</w:t>
      </w:r>
    </w:p>
    <w:p>
      <w:pPr>
        <w:spacing w:before="40" w:after="40"/>
        <w:ind w:left="283"/>
      </w:pPr>
      <w:r>
        <w:rPr>
          <w:rFonts w:ascii="Calibri" w:hAnsi="Calibri"/>
          <w:b/>
          <w:color w:val="4A6B25"/>
          <w:sz w:val="20"/>
        </w:rPr>
        <w:t xml:space="preserve">3. </w:t>
      </w:r>
      <w:r>
        <w:rPr>
          <w:rFonts w:ascii="Calibri" w:hAnsi="Calibri"/>
          <w:b w:val="0"/>
          <w:color w:val="3A4A28"/>
          <w:sz w:val="20"/>
        </w:rPr>
        <w:t>Continued cash burn (-297.8% profit margin, $25.1M Q1 2026 net loss) means the ~2028 runway depends on no major setbacks; further dilutive financing would be needed if milestones slip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IMMUNE — C4 Therapeutics' value creation depends on proprietary degrader chemistry, multi-year clinical trials, and FDA regulatory approval, none of which AI can substitute; running the Phase 2 MOMENTUM trial and generating the biological and safety data needed for approval are physical-world, regulated processes that structurally resist AI displacement. If anything, AI-assisted computational chemistry and structural biology tools are accelerating drug discovery industry-wide, an enabler rather than a threat to C4's business model. AI Opportunity (0/1): No specific AI-attributable revenue or explicitly AI-driven discovery result was disclosed for the TORPEDO platform, so the tiebreaker point is not awarded.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C4 Therapeutics Reports First Quarter 2026 Financial Results and Recent Business Highlights, ir.c4therapeutics.com, May 2026</w:t>
      </w:r>
    </w:p>
    <w:p>
      <w:pPr>
        <w:spacing w:before="20" w:after="20"/>
        <w:ind w:left="170"/>
      </w:pPr>
      <w:r>
        <w:rPr>
          <w:rFonts w:ascii="Calibri" w:hAnsi="Calibri"/>
          <w:b/>
          <w:color w:val="4A6B25"/>
          <w:sz w:val="15"/>
        </w:rPr>
        <w:t xml:space="preserve">2. </w:t>
      </w:r>
      <w:r>
        <w:rPr>
          <w:rFonts w:ascii="Calibri" w:hAnsi="Calibri"/>
          <w:b w:val="0"/>
          <w:color w:val="3A4A28"/>
          <w:sz w:val="17"/>
        </w:rPr>
        <w:t>C4 Therapeutics 8-K — Roche Degrader-Antibody Conjugate Collaboration, May 2026</w:t>
      </w:r>
    </w:p>
    <w:p>
      <w:pPr>
        <w:spacing w:before="20" w:after="20"/>
        <w:ind w:left="170"/>
      </w:pPr>
      <w:r>
        <w:rPr>
          <w:rFonts w:ascii="Calibri" w:hAnsi="Calibri"/>
          <w:b/>
          <w:color w:val="4A6B25"/>
          <w:sz w:val="15"/>
        </w:rPr>
        <w:t xml:space="preserve">3. </w:t>
      </w:r>
      <w:r>
        <w:rPr>
          <w:rFonts w:ascii="Calibri" w:hAnsi="Calibri"/>
          <w:b w:val="0"/>
          <w:color w:val="3A4A28"/>
          <w:sz w:val="17"/>
        </w:rPr>
        <w:t>C4 Therapeutics Leadership Team and Corporate Governance — c4therapeutics.com, ir.c4therapeutics.com,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CCCC Key Statistics,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C4 Therapeutics SEC Form 4 insider trading filings,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