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CDNS</w:t>
      </w:r>
      <w:r>
        <w:rPr>
          <w:rFonts w:ascii="Calibri" w:hAnsi="Calibri"/>
          <w:b/>
          <w:color w:val="1A2010"/>
          <w:sz w:val="40"/>
        </w:rPr>
        <w:t xml:space="preserve">  Cadence Design Systems, Inc.</w:t>
      </w:r>
    </w:p>
    <w:p>
      <w:pPr>
        <w:spacing w:after="120"/>
      </w:pPr>
      <w:r>
        <w:rPr>
          <w:rFonts w:ascii="Calibri" w:hAnsi="Calibri"/>
          <w:b/>
          <w:color w:val="6E8450"/>
          <w:sz w:val="18"/>
        </w:rPr>
        <w:t>GROWTH SLEEVE · 2026-07-13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Design Automation · NASDAQ · United States</w:t>
      </w:r>
    </w:p>
    <w:p>
      <w:pPr>
        <w:spacing w:after="80"/>
      </w:pPr>
      <w:r>
        <w:rPr>
          <w:rFonts w:ascii="Calibri" w:hAnsi="Calibri"/>
          <w:b w:val="0"/>
          <w:color w:val="3A4A28"/>
          <w:sz w:val="20"/>
        </w:rPr>
        <w:t>Cadence Design Systems is a leading provider of electronic design automation (EDA) software, intellectual property (IP), and system design and analysis solutions. The company operates in a duopoly with Synopsys in EDA, enabling the design of semiconductors, printed circuit boards, and systems. Expanding into computational biology and system analysis through acquisitions including the Hexagon D&amp;E business. Led by CEO Dr. Anirudh Devgan since 2021. Headquartered in San Jose, California.</w:t>
      </w:r>
    </w:p>
    <w:p>
      <w:r>
        <w:rPr>
          <w:rFonts w:ascii="Calibri" w:hAnsi="Calibri"/>
          <w:b/>
          <w:color w:val="6E8450"/>
          <w:sz w:val="18"/>
        </w:rPr>
        <w:t>13,800 Employees · https://www.cadence.com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Cadence has executed multiple successful product launches and a transformative business model expansion under CEO Dr. Anirudh Devgan. The company expanded beyond core EDA into system design and analysis, computational biology, and AI-driven design automation. Core EDA grew 18% YoY, IP business grew 22% YoY, and System Design &amp; Analysis grew 18% YoY in Q1 2026, demonstrating broad-based execution across all segments [1][4]. AI Deployment (2/2): Cadence launched the ChipStack AI Super Agent -- the world's first agentic workflow for automating chip design and verification -- delivering up to 10X productivity improvements for coding designs and testbenches [3]. Cadence is described as 'the most obvious AI winner among software names' with AI driving demand rather than disrupting the business. Market Share (2/2): Cadence operates in an EDA duopoly with Synopsys, holding dominant market share with massive barriers to entry. Record quarter-end backlog reached $8.0 billion, a testament to category leadership and customer lock-in [1]. Product Pipeline (2/2): FY2026 revenue guidance raised to $6.125-6.225 billion (approximately 17% YoY growth) with record $8.0 billion backlog providing multi-year revenue visibility [1]. ChipStack AI Super Agent and continued AI integration create a clear next-generation product roadmap. R&amp;D Intensity (1/1): Cadence historically invests approximately 35-40% of revenue in R&amp;D, placing it in the top quartile for software companies and reflecting deep commitment to technology leadership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Cadence's purpose under Dr. Devgan centers on 'enabling the next generation of intelligent systems across semiconductors, systems design, and life sciences' [2]. This mission is specific, thoughtful, and demonstrably connected to strategic decisions -- the expansion into computational biology, the ChipStack AI investment, and the Hexagon D&amp;E acquisition all trace back to this vision of computational intelligence enabling physical-world systems. Dr. Devgan's articulation of the 'three-layer cake' (AI agents, principal simulation, compute) shows genuine intellectual leadership [2]. Community Impact (1/2): Cadence committed $50 million to addressing racial wealth inequality and has been recognized on multiple 'Best Workplaces' lists, demonstrating specific community investment beyond standard corporate philanthropy [4]. Employee Retention (1/2): Multiple 'Best Workplaces' recognitions and a stated culture of 'high-performing, inclusive' environment suggest positive employee sentiment, though no specific retention or tenure metrics were cited [4]. Insider Buying (0/2): Significant net insider selling in 2026: CEO Devgan sold $19.2 million in shares at $370, CFO Wall sold 5,000 shares, and VP Scannell sold 10,500 shares at $339 [5]. While all sales were pre-planned under 10b5-1 plans, the consistent one-directional selling provides no conviction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is exceptional: Q1 2026 delivered 19% YoY growth to $1.474 billion, and full-year guidance was raised to $6.125-6.225 billion (approximately 17% growth) with a 5-year revenue CAGR of approximately 14% [1]. ROE of 20.66% exceeds the 15% target, and profit margin of 21.2% clears the 20% threshold, reflecting Cadence's high-margin software model [5]. Debt-to-equity of 47% is well below the 70% target, indicating a healthy balance sheet [5]. The significant drags are valuation-related: forward P/E of 44.68 is well above the 20 target (scoring 0.38), and the forward PEG of 3.18 exceeds the 3.0 floor, scoring zero on the 2x-weighted PEG metric [5]. GAAP operating margin was 29.3% and non-GAAP operating margin reached 44.7% in Q1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Cadence under Dr. Anirudh Devgan shows strong elements of infinite-game thinking -- a purpose that expands beyond the current business, genuine market expansion into computational biology and system analysis, and a competitive relationship with Synopsys that drives mutual improvement rather than zero-sum warfare. The 'three-layer cake' framework (AI agents, principal simulation, compute) reveals intellectual depth about where the EDA industry is headed. However, Dr. Devgan has only been CEO since 2021, so the Just Cause has not yet been validated through market crises or leadership transitions. The company scores well on capability-building but hasn't yet faced the existential tests that separate infinite from mixed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Dr. Devgan's vision of 'enabling intelligent systems across semiconductors, systems design, and life sciences' is a genuine, expansive purpose that connects Cadence's work to something larger than making EDA software [2]. Strategic decisions -- acquiring Hexagon D&amp;E, expanding into computational biology, building ChipStack AI -- clearly trace back to this vision. The 'three-layer cake' articulation shows that leadership has thought deeply about the company's role in advancing computational capability. However, this Just Cause is only five years old (Devgan became CEO in 2021) and has not been validated through crisis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Cadence has been recognized on multiple 'Best Workplaces' lists and promotes a 'high-performing, inclusive culture' as a foundational tenet of its business strategy [4]. The company's $50 million commitment to racial wealth inequality suggests organizational values beyond lip service. However, no specific employee retention, tenure, or turnover data was found to validate that employees feel genuinely empowered and safe. With 13,800 employees and a recent large acquisition (Hexagon D&amp;E), cultural integration across the expanding organization remains an open question.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Cadence's relationship with Synopsys is a textbook worthy rivalry. Rather than framing competition as a war to win, Dr. Devgan focuses on expanding the market and improving Cadence's own capabilities [2]. The competitive dynamic between the two EDA leaders drives innovation that benefits customers -- both companies invest heavily in R&amp;D and push each other to advance AI-driven design automation. Management commentary focuses on product innovation and market expansion rather than 'beating' Synopsys.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Cadence has meaningfully expanded beyond its core EDA software business into system design and analysis, computational biology (through strategic investments), and AI-driven design automation [1][2]. The acquisition of Hexagon's D&amp;E business represents a significant bet on expanding the company's addressable market into physical system analysis. These moves represent genuine evolution from 'EDA company' to 'computational intelligence platform,' though the core EDA business remains intact rather than being abandoned for something new.</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Dr. Devgan has made bold strategic moves -- the Hexagon D&amp;E acquisition (dilutive to 2026 earnings but expected accretive in 2027), significant R&amp;D investment in ChipStack AI, and expansion into computational biology [1]. The willingness to accept short-term earnings dilution from Hexagon shows some courage. However, Cadence's dominant market position, 44.7% non-GAAP operating margins, and record $8.0 billion backlog mean these investments are made from a position of extraordinary strength, reducing the relative courage required.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Cadence is the premier AI beneficiary in enterprise software, operating in an EDA duopoly with Synopsys where AI drives demand acceleration rather than disruption. Q1 2026 delivered $1.474 billion revenue (up 19% YoY) with every segment growing double digits: Core EDA up 18%, IP up 22%, and System Design &amp; Analysis up 18% [1]. Management raised FY2026 guidance to $6.125-6.225 billion (approximately 17% growth) backed by a record $8.0 billion backlog providing exceptional multi-year revenue visibility [1]. Non-GAAP operating margins of 44.7% and ROE of 20.66% reflect a world-class software business model with significant operating leverage. The ChipStack AI Super Agent (10X productivity for chip design) and expansion into computational biology and system analysis under Dr. Devgan's leadership broaden the TAM beyond traditional EDA.</w:t>
      </w:r>
    </w:p>
    <w:p>
      <w:pPr>
        <w:spacing w:after="120"/>
      </w:pPr>
      <w:r>
        <w:rPr>
          <w:rFonts w:ascii="Calibri" w:hAnsi="Calibri"/>
          <w:b w:val="0"/>
          <w:color w:val="3A4A28"/>
          <w:sz w:val="20"/>
        </w:rPr>
        <w:t>The primary concern is valuation. At 44.68x forward earnings and a PEG ratio of 3.18 (above the 3.0 floor), Cadence is priced for perfection in a market that demands sustained high-teens growth indefinitely [5]. The $106 billion market cap requires continued AI-driven semiconductor design demand acceleration -- any deceleration in customer design starts or a shift in AI chip investment priorities could compress the multiple significantly. The Hexagon D&amp;E acquisition is dilutive to 2026 earnings and creates integration risk for a company that has historically grown organically [1]. CEO Devgan sold $19.2 million in shares in 2026, and while pre-planned under 10b5-1, the consistent insider selling at all-time highs warrants monitoring [5]. Cadence's success is increasingly tied to the AI infrastructure buildout cycle -- if semiconductor capex normalizes or AI chip design complexity plateaus, the premium growth narrative could unwind rapidly.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ChipStack AI Super Agent adoption driving measurable customer productivity gains and expanding EDA TAM as AI-driven chip design automation becomes the industry standard</w:t>
      </w:r>
    </w:p>
    <w:p>
      <w:pPr>
        <w:spacing w:before="40" w:after="40"/>
        <w:ind w:left="283"/>
      </w:pPr>
      <w:r>
        <w:rPr>
          <w:rFonts w:ascii="Calibri" w:hAnsi="Calibri"/>
          <w:b/>
          <w:color w:val="4A6B25"/>
          <w:sz w:val="20"/>
        </w:rPr>
        <w:t xml:space="preserve">2. </w:t>
      </w:r>
      <w:r>
        <w:rPr>
          <w:rFonts w:ascii="Calibri" w:hAnsi="Calibri"/>
          <w:b w:val="0"/>
          <w:color w:val="3A4A28"/>
          <w:sz w:val="20"/>
        </w:rPr>
        <w:t>Record $8.0 billion backlog providing multi-year revenue visibility, with raised FY2026 guidance of $6.125-6.225 billion reflecting continued AI-driven demand acceleration across all segments</w:t>
      </w:r>
    </w:p>
    <w:p>
      <w:pPr>
        <w:spacing w:before="40" w:after="40"/>
        <w:ind w:left="283"/>
      </w:pPr>
      <w:r>
        <w:rPr>
          <w:rFonts w:ascii="Calibri" w:hAnsi="Calibri"/>
          <w:b/>
          <w:color w:val="4A6B25"/>
          <w:sz w:val="20"/>
        </w:rPr>
        <w:t xml:space="preserve">3. </w:t>
      </w:r>
      <w:r>
        <w:rPr>
          <w:rFonts w:ascii="Calibri" w:hAnsi="Calibri"/>
          <w:b w:val="0"/>
          <w:color w:val="3A4A28"/>
          <w:sz w:val="20"/>
        </w:rPr>
        <w:t>Hexagon D&amp;E acquisition becoming accretive in 2027 and transforming Cadence from an EDA company into a computational intelligence platform spanning semiconductors, systems, and life sciences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PEG of 3.18 and 44.68x forward P/E leave zero margin of safety -- any growth deceleration from the current 17-19% trajectory could trigger significant multiple compression on the $106 billion market cap</w:t>
      </w:r>
    </w:p>
    <w:p>
      <w:pPr>
        <w:spacing w:before="40" w:after="40"/>
        <w:ind w:left="283"/>
      </w:pPr>
      <w:r>
        <w:rPr>
          <w:rFonts w:ascii="Calibri" w:hAnsi="Calibri"/>
          <w:b/>
          <w:color w:val="4A6B25"/>
          <w:sz w:val="20"/>
        </w:rPr>
        <w:t xml:space="preserve">2. </w:t>
      </w:r>
      <w:r>
        <w:rPr>
          <w:rFonts w:ascii="Calibri" w:hAnsi="Calibri"/>
          <w:b w:val="0"/>
          <w:color w:val="3A4A28"/>
          <w:sz w:val="20"/>
        </w:rPr>
        <w:t>Hexagon D&amp;E acquisition is dilutive to 2026 operating margins and creates integration risk for a company that has historically relied on organic growth to deliver consistent execution</w:t>
      </w:r>
    </w:p>
    <w:p>
      <w:pPr>
        <w:spacing w:before="40" w:after="40"/>
        <w:ind w:left="283"/>
      </w:pPr>
      <w:r>
        <w:rPr>
          <w:rFonts w:ascii="Calibri" w:hAnsi="Calibri"/>
          <w:b/>
          <w:color w:val="4A6B25"/>
          <w:sz w:val="20"/>
        </w:rPr>
        <w:t xml:space="preserve">3. </w:t>
      </w:r>
      <w:r>
        <w:rPr>
          <w:rFonts w:ascii="Calibri" w:hAnsi="Calibri"/>
          <w:b w:val="0"/>
          <w:color w:val="3A4A28"/>
          <w:sz w:val="20"/>
        </w:rPr>
        <w:t>Cadence's growth narrative is increasingly correlated with the AI infrastructure buildout cycle -- any normalization in semiconductor capex or AI chip design starts could break the demand acceleration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Cadence is the textbook example of AI immunity -- the company IS AI infrastructure. Every AI chip designed on the planet (NVIDIA, AMD, Google TPU, custom silicon) requires EDA tools, and Cadence operates in a duopoly with Synopsys that has massive barriers to entry (decades of accumulated IP, customer switching costs, and the complexity of semiconductor design workflows) [1][3]. AI drives MORE demand for Cadence's products: as AI chips become more complex (multi-trillion transistor designs), customers need more sophisticated and compute-intensive EDA tools. Far from being disrupted by AI, Cadence's TAM expands with every advance in AI hardware. Record $8.0 billion backlog reflects surging AI-driven chip design demand [1]. AI Opportunity (1/1): Cadence generates meaningful AI-related revenue through multiple vectors: the ChipStack AI Super Agent provides 10X productivity gains for chip design automation, AI is integrated throughout the Cadence Cerebrus platform for design optimization, and the surge in AI chip design demand drives growth across all EDA product lines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Cadence Q1 2026 Earnings Release and Raised FY2026 Guidance -- Cadence Investor Relations, April 2026</w:t>
      </w:r>
    </w:p>
    <w:p>
      <w:pPr>
        <w:spacing w:before="20" w:after="20"/>
        <w:ind w:left="170"/>
      </w:pPr>
      <w:r>
        <w:rPr>
          <w:rFonts w:ascii="Calibri" w:hAnsi="Calibri"/>
          <w:b/>
          <w:color w:val="4A6B25"/>
          <w:sz w:val="15"/>
        </w:rPr>
        <w:t xml:space="preserve">2. </w:t>
      </w:r>
      <w:r>
        <w:rPr>
          <w:rFonts w:ascii="Calibri" w:hAnsi="Calibri"/>
          <w:b w:val="0"/>
          <w:color w:val="3A4A28"/>
          <w:sz w:val="17"/>
        </w:rPr>
        <w:t>Cadence CEO Anirudh Devgan Interview on AI and Innovation -- Fortune, April 2026</w:t>
      </w:r>
    </w:p>
    <w:p>
      <w:pPr>
        <w:spacing w:before="20" w:after="20"/>
        <w:ind w:left="170"/>
      </w:pPr>
      <w:r>
        <w:rPr>
          <w:rFonts w:ascii="Calibri" w:hAnsi="Calibri"/>
          <w:b/>
          <w:color w:val="4A6B25"/>
          <w:sz w:val="15"/>
        </w:rPr>
        <w:t xml:space="preserve">3. </w:t>
      </w:r>
      <w:r>
        <w:rPr>
          <w:rFonts w:ascii="Calibri" w:hAnsi="Calibri"/>
          <w:b w:val="0"/>
          <w:color w:val="3A4A28"/>
          <w:sz w:val="17"/>
        </w:rPr>
        <w:t>ChipStack AI Super Agent Launch and EDA Industry AI Coverage -- Semi Engineering, 2026</w:t>
      </w:r>
    </w:p>
    <w:p>
      <w:pPr>
        <w:spacing w:before="20" w:after="20"/>
        <w:ind w:left="170"/>
      </w:pPr>
      <w:r>
        <w:rPr>
          <w:rFonts w:ascii="Calibri" w:hAnsi="Calibri"/>
          <w:b/>
          <w:color w:val="4A6B25"/>
          <w:sz w:val="15"/>
        </w:rPr>
        <w:t xml:space="preserve">4. </w:t>
      </w:r>
      <w:r>
        <w:rPr>
          <w:rFonts w:ascii="Calibri" w:hAnsi="Calibri"/>
          <w:b w:val="0"/>
          <w:color w:val="3A4A28"/>
          <w:sz w:val="17"/>
        </w:rPr>
        <w:t>Cadence ESG Report: Sustainable by Design and Corporate Social Responsibility -- cadence.com,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CDNS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