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CDXS</w:t>
      </w:r>
      <w:r>
        <w:rPr>
          <w:rFonts w:ascii="Calibri" w:hAnsi="Calibri"/>
          <w:b/>
          <w:color w:val="1A2010"/>
          <w:sz w:val="40"/>
        </w:rPr>
        <w:t xml:space="preserve">  Codexis, Inc.</w:t>
      </w:r>
    </w:p>
    <w:p>
      <w:pPr>
        <w:spacing w:after="120"/>
      </w:pPr>
      <w:r>
        <w:rPr>
          <w:rFonts w:ascii="Calibri" w:hAnsi="Calibri"/>
          <w:b/>
          <w:color w:val="6E8450"/>
          <w:sz w:val="18"/>
        </w:rPr>
        <w:t>GROWTH SLEEVE · 2026-07-15 · Inspire: 66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Codexis, Inc. is a leading enzyme engineering company that leverages its proprietary CodeEvolver technology platform — integrating machine learning with experimental workflows — to design and develop high-performance enzymes for pharmaceutical manufacturing, life sciences, and industrial applications. The company engineered custom enzymes for blockbuster drugs including Merck's Januvia and Pfizer's Paxlovid, and is developing its ECO Synthesis platform for RNA therapeutics manufacturing. Founded in 2002 as a spinout of Maxygen, headquartered in Redwood City, California.</w:t>
      </w:r>
    </w:p>
    <w:p>
      <w:r>
        <w:rPr>
          <w:rFonts w:ascii="Calibri" w:hAnsi="Calibri"/>
          <w:b/>
          <w:color w:val="6E8450"/>
          <w:sz w:val="18"/>
        </w:rPr>
        <w:t>300 Employees · https://www.codexis.com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Codexis successfully pivoted from biofuels and industrial enzymes to pharmaceutical enzyme engineering, culminating in enzyme contributions to two blockbuster drugs — Merck's Januvia and Pfizer's Paxlovid [1][2]. The launch of the ECO Synthesis platform targeting RNA therapeutics manufacturing represents a significant new capability that could open a major revenue stream. However, the Paxlovid revenue cliff (from $138.6M peak in 2022 to $59.3M in 2024) exposed dependence on lumpy partnership revenue [1]. AI Deployment (1/2): The CodeEvolver platform integrates machine learning with high-throughput experimental workflows to design custom enzymes, representing genuine AI-powered product development [2]. However, AI-specific revenue is not separately quantified since ML is embedded throughout the enzyme engineering process. Market Share (1/2): Codexis is a recognized leader in the niche enzyme engineering-for-pharma market, with proprietary datasets spanning 20+ years of directed enzyme evolution. They are a meaningful player but the market is small and fragmented [2]. Product Pipeline (1/2): The ECO Synthesis platform targets the rapidly growing RNA therapeutics market, and a $37.8M technology transfer agreement with Merck signed in late 2025 provides near-term revenue visibility [1]. CEO Alison Moore has highlighted 2026 as an inflection year. R&amp;D Intensity (1/1): R&amp;D spending of $52.3M represents approximately 74% of FY2025 revenue, far exceeding industry peers and reflecting aggressive investment in platform capabilities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Codexis articulates its mission as 'transforming the enzyme engineering landscape for the betterment of human health' with a three-pronged commitment to Innovation, Sustainable Solutions, and Industry Impact [4]. The mission clearly identifies what the company does and for whom, and the sustainable chemistry angle (replacing harsh chemical synthesis with biological processes) adds a differentiating element. However, 'betterment of human health' is common across biotech and does not articulate a deeper purpose that transcends the industry. Community Impact (0/2): No evidence of significant charitable programs, foundation, or quantified community investment was identified. The company mentions supporting the rare disease community through engagement with patients and advocacy leaders, but no specific dollar commitments or structured programs were found [4]. Employee Retention (0/2): New CEO Alison Moore was appointed in November 2025, representing a recent leadership transition. No specific employee retention data, voluntary turnover rates, or average tenure figures are publicly available. Insider Buying (0/2): Net insider selling in recent months — Director Raymond De Vre sold 2,605 shares in June 2026 to cover RSU tax liability. No meaningful net insider buying was identified in the last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Codexis remains pre-profit with a net loss of -$44.0M on $70.4M FY2025 revenue, producing a -62.5% profit margin and -68.9% ROE [1][3]. The balance sheet carries $78.2M cash against $73.2M debt (D/E 168.6%), providing a thin net cash cushion of ~$5M that raises going-concern questions if losses persist at current rates [3]. Revenue growth YoY of 18.7% (from $59.3M in FY2024 to $70.4M in FY2025) is strong, driven by the Merck technology transfer and performance enzyme recovery [1]. However, the 5-year revenue CAGR is approximately flat (~1%) reflecting the extreme volatility from the Paxlovid boom-bust cycle ($104.8M in 2021 to $138.6M peak in 2022 to $59.3M trough in 2024) [1]. Forward P/E and PEG ratios are not applicable due to continued expected losses. Liquidity passes: avg daily volume of 782K shares x $2.13 = $1.67M &gt;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Codexis shows signs of a company still searching for its enduring identity rather than playing from one. The pivot from biofuels to pharma enzymes to RNA synthesis reflects adaptability but also strategic restlessness — the Just Cause has been rewritten multiple times. New CEO Alison Moore brings fresh energy but the company is too early in this leadership era to evaluate long-term commitment to any cause. The revenue volatility from Paxlovid dependence suggests a company that optimized for the deal in front of it rather than building durable revenue streams.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Codexis articulates a purpose around transforming enzyme engineering for human health and sustainable chemistry [4]. The cause is genuine — replacing harsh chemical synthesis with biological processes is meaningful — but it has been reframed multiple times as the company pivoted from biofuels to pharma to RNA. The purpose has not been tested through crisis with consistent strategic fidelity. It reads more as a current business description than a cause that shapes hard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CEO transition from Stephen Dilly to Alison Moore (promoted from CTO) in November 2025 suggests reasonable organizational stability [2]. The dedicated HR leadership under Karen Frechou-Armijo and focus on 'high-performance, innovation-driven culture' are positive signals. However, no specific employee retention data, voluntary turnover rates, or cultural survey results are publicly available to validate these claims.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Codexis's leadership acknowledging competitors' strengths as motivation for self-improvement. The company's competitive positioning language focuses on its proprietary CodeEvolver platform advantages rather than what it learns from rivals in the synthetic biology and enzyme engineering space.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Codexis has meaningfully evolved its business model multiple times — from biofuels and industrial enzymes to pharmaceutical enzyme engineering, and now into RNA therapeutics manufacturing via ECO Synthesis [2]. Each transition involved entering adjacent markets and leveraging existing platform capabilities in new directions. These were incremental-to-significant pivots, though none represent the kind of transformative, self-cannibalizing reinvention that earns a full score.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pivot from biofuels (which attracted early investors) to pharmaceutical enzyme engineering required courage and the willingness to abandon an existing revenue base. More recently, the investment in ECO Synthesis for RNA therapeutics while still burning $44M annually represents a bet on future capability over present stability [1]. However, it is unclear whether these pivots were driven by conviction or by necessity as previous business models failed.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Codexis is a niche enzyme engineering leader with a proprietary AI-powered CodeEvolver platform and 20+ years of directed evolution data. FY2025 revenue recovered 18.7% to $70.4M, and the $37.8M Merck technology transfer deal validates the platform's commercial value [1]. The ECO Synthesis platform for RNA therapeutics positions Codexis at the intersection of two high-growth markets — synthetic biology and RNA medicines — with the potential to disrupt traditional oligonucleotide synthesis methods [2]. R&amp;D intensity at 74% of revenue signals aggressive platform investment. CEO Alison Moore, promoted from CTO in November 2025, brings deep technical credibility and has identified 2026 as an inflection year with revenue guided to $72-76M [1].</w:t>
      </w:r>
    </w:p>
    <w:p>
      <w:pPr>
        <w:spacing w:after="120"/>
      </w:pPr>
      <w:r>
        <w:rPr>
          <w:rFonts w:ascii="Calibri" w:hAnsi="Calibri"/>
          <w:b w:val="0"/>
          <w:color w:val="3A4A28"/>
          <w:sz w:val="20"/>
        </w:rPr>
        <w:t>The bear case is substantial. Codexis has been pre-profit for its entire public history, with a cumulative net loss of -$44M in FY2025 alone and a -62.5% profit margin [3]. The net cash position of just ~$5M ($78.2M cash vs. $73.2M debt) raises questions about runway if losses persist — the company may need to raise capital, diluting the 91M shares outstanding [3]. Revenue history is alarmingly volatile: the Paxlovid-driven peak of $138.6M in 2022 collapsed to $59.3M in 2024, exposing dangerous dependence on lumpy partnership deals [1]. At $2.13 per share with a $193M market cap, the stock trades at 2.7x trailing revenue — not cheap for a money-losing biotech with uncertain path to profitability. ECO Synthesis is promising but unproven at commercial scale, and larger synthetic biology competitors (Ginkgo Bioworks, Zymergen's intellectual legacy) could pursue similar RNA enzyme opportunities.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ECO Synthesis platform commercial traction in RNA therapeutics manufacturing, with potential for multi-year supply agreements with RNA drug developers targeting the $50B+ oligonucleotide market</w:t>
      </w:r>
    </w:p>
    <w:p>
      <w:pPr>
        <w:spacing w:before="40" w:after="40"/>
        <w:ind w:left="283"/>
      </w:pPr>
      <w:r>
        <w:rPr>
          <w:rFonts w:ascii="Calibri" w:hAnsi="Calibri"/>
          <w:b/>
          <w:color w:val="4A6B25"/>
          <w:sz w:val="20"/>
        </w:rPr>
        <w:t xml:space="preserve">2. </w:t>
      </w:r>
      <w:r>
        <w:rPr>
          <w:rFonts w:ascii="Calibri" w:hAnsi="Calibri"/>
          <w:b w:val="0"/>
          <w:color w:val="3A4A28"/>
          <w:sz w:val="20"/>
        </w:rPr>
        <w:t>Merck technology transfer agreement ($37.8M) executing through 2026 with potential for expanded scope and additional pharmaceutical partner deals leveraging CodeEvolver platform</w:t>
      </w:r>
    </w:p>
    <w:p>
      <w:pPr>
        <w:spacing w:before="40" w:after="40"/>
        <w:ind w:left="283"/>
      </w:pPr>
      <w:r>
        <w:rPr>
          <w:rFonts w:ascii="Calibri" w:hAnsi="Calibri"/>
          <w:b/>
          <w:color w:val="4A6B25"/>
          <w:sz w:val="20"/>
        </w:rPr>
        <w:t xml:space="preserve">3. </w:t>
      </w:r>
      <w:r>
        <w:rPr>
          <w:rFonts w:ascii="Calibri" w:hAnsi="Calibri"/>
          <w:b w:val="0"/>
          <w:color w:val="3A4A28"/>
          <w:sz w:val="20"/>
        </w:rPr>
        <w:t>Path to profitability inflection as revenue scales toward $72-76M (2026 guide) with improving gross margins from higher-value performance enzyme and technology licensing revenue mix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cash cushion of only ~$5M with -$44M annual burn rate creates near-term dilution or liquidity risk if ECO Synthesis commercialization is delayed or partnership revenue disappoints</w:t>
      </w:r>
    </w:p>
    <w:p>
      <w:pPr>
        <w:spacing w:before="40" w:after="40"/>
        <w:ind w:left="283"/>
      </w:pPr>
      <w:r>
        <w:rPr>
          <w:rFonts w:ascii="Calibri" w:hAnsi="Calibri"/>
          <w:b/>
          <w:color w:val="4A6B25"/>
          <w:sz w:val="20"/>
        </w:rPr>
        <w:t xml:space="preserve">2. </w:t>
      </w:r>
      <w:r>
        <w:rPr>
          <w:rFonts w:ascii="Calibri" w:hAnsi="Calibri"/>
          <w:b w:val="0"/>
          <w:color w:val="3A4A28"/>
          <w:sz w:val="20"/>
        </w:rPr>
        <w:t>Extreme revenue volatility history (peak $138.6M to trough $59.3M in two years) reflects dangerous dependence on lumpy, milestone-driven pharmaceutical partnership revenue rather than recurring streams</w:t>
      </w:r>
    </w:p>
    <w:p>
      <w:pPr>
        <w:spacing w:before="40" w:after="40"/>
        <w:ind w:left="283"/>
      </w:pPr>
      <w:r>
        <w:rPr>
          <w:rFonts w:ascii="Calibri" w:hAnsi="Calibri"/>
          <w:b/>
          <w:color w:val="4A6B25"/>
          <w:sz w:val="20"/>
        </w:rPr>
        <w:t xml:space="preserve">3. </w:t>
      </w:r>
      <w:r>
        <w:rPr>
          <w:rFonts w:ascii="Calibri" w:hAnsi="Calibri"/>
          <w:b w:val="0"/>
          <w:color w:val="3A4A28"/>
          <w:sz w:val="20"/>
        </w:rPr>
        <w:t>ECO Synthesis faces execution risk at commercial scale and competition from larger synthetic biology players with deeper resources, while the RNA therapeutics market itself remains early-stage with uncertain clinical outcomes for many pipeline drugs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Codexis's core business involves physical enzyme manufacturing, high-throughput screening, and regulatory-grade pharmaceutical process development — activities that AI cannot substitute [2]. The company's competitive moat rests on 20+ years of proprietary enzyme evolution data and physical-world experimental infrastructure that cannot be replicated by computational approaches alone. Pharmaceutical customers require validated, GMP-grade enzymes, not theoretical designs. While AI tools could potentially help competitors design better starting-point enzymes (reducing Codexis's informational advantage), the integration of wet-lab capabilities with computational design creates a defensible hybrid moat. Analysts have not flagged AI as a displacement risk for enzyme engineering companies. AI Opportunity (1/1): AI is not just a defensive moat — it IS Codexis's core platform. The CodeEvolver technology integrates machine learning with experimental workflows to identify optimal enzyme variants orders of magnitude faster than traditional screening [2]. All revenue from enzyme engineering services and products is, in effect, AI-enabled revenue. The ECO Synthesis platform extends this AI-driven design capability into RNA therapeutics manufacturing.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Codexis Q1 2026 Earnings Release and FY2025 Annual Results — GlobeNewsWire / ir.codexis.com, May 2026</w:t>
      </w:r>
    </w:p>
    <w:p>
      <w:pPr>
        <w:spacing w:before="20" w:after="20"/>
        <w:ind w:left="170"/>
      </w:pPr>
      <w:r>
        <w:rPr>
          <w:rFonts w:ascii="Calibri" w:hAnsi="Calibri"/>
          <w:b/>
          <w:color w:val="4A6B25"/>
          <w:sz w:val="15"/>
        </w:rPr>
        <w:t xml:space="preserve">2. </w:t>
      </w:r>
      <w:r>
        <w:rPr>
          <w:rFonts w:ascii="Calibri" w:hAnsi="Calibri"/>
          <w:b w:val="0"/>
          <w:color w:val="3A4A28"/>
          <w:sz w:val="17"/>
        </w:rPr>
        <w:t>Codexis Corporate Website — About Us, Leadership, Technology Platform — codexis.com,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Codexis FY2025 10-K Filing and Financial Statements — SEC Edgar, March 2026</w:t>
      </w:r>
    </w:p>
    <w:p>
      <w:pPr>
        <w:spacing w:before="20" w:after="20"/>
        <w:ind w:left="170"/>
      </w:pPr>
      <w:r>
        <w:rPr>
          <w:rFonts w:ascii="Calibri" w:hAnsi="Calibri"/>
          <w:b/>
          <w:color w:val="4A6B25"/>
          <w:sz w:val="15"/>
        </w:rPr>
        <w:t xml:space="preserve">4. </w:t>
      </w:r>
      <w:r>
        <w:rPr>
          <w:rFonts w:ascii="Calibri" w:hAnsi="Calibri"/>
          <w:b w:val="0"/>
          <w:color w:val="3A4A28"/>
          <w:sz w:val="17"/>
        </w:rPr>
        <w:t>Codexis Mission, Culture, and ESG Information — codexis.com/about-us/culture,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CDXS Key Statistics, Insider Transactions, and Trading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