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CENX</w:t>
      </w:r>
      <w:r>
        <w:rPr>
          <w:rFonts w:ascii="Calibri" w:hAnsi="Calibri"/>
          <w:b/>
          <w:color w:val="1A2010"/>
          <w:sz w:val="40"/>
        </w:rPr>
        <w:t xml:space="preserve">  Century Aluminum Company</w:t>
      </w:r>
    </w:p>
    <w:p>
      <w:pPr>
        <w:spacing w:after="120"/>
      </w:pPr>
      <w:r>
        <w:rPr>
          <w:rFonts w:ascii="Calibri" w:hAnsi="Calibri"/>
          <w:b/>
          <w:color w:val="6E8450"/>
          <w:sz w:val="18"/>
        </w:rPr>
        <w:t>GROWTH SLEEVE · 2026-07-14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Aluminum · NASDAQ · United States</w:t>
      </w:r>
    </w:p>
    <w:p>
      <w:pPr>
        <w:spacing w:after="80"/>
      </w:pPr>
      <w:r>
        <w:rPr>
          <w:rFonts w:ascii="Calibri" w:hAnsi="Calibri"/>
          <w:b w:val="0"/>
          <w:color w:val="3A4A28"/>
          <w:sz w:val="20"/>
        </w:rPr>
        <w:t>Century Aluminum is the largest producer of primary aluminum in the United States, operating smelters in Ravenswood, West Virginia and Grundartangi, Iceland. In Q1 2026, the company sold its Hawesville, Kentucky smelter for a $287.9M gain, retaining 6.8% equity in an AI data center redevelopment of the site. Century is developing a major new greenfield smelter in partnership with Emirates Global Aluminium, backed by a $500M DOE grant. Founded in 1995, headquartered in Chicago, Illinois.</w:t>
      </w:r>
    </w:p>
    <w:p>
      <w:r>
        <w:rPr>
          <w:rFonts w:ascii="Calibri" w:hAnsi="Calibri"/>
          <w:b/>
          <w:color w:val="6E8450"/>
          <w:sz w:val="18"/>
        </w:rPr>
        <w:t>2,400 Employees · https://www.centuryaluminum.com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Major strategic pivot under CEO Jesse Gary toward domestic production with the Oklahoma greenfield smelter JV with Emirates Global Aluminium — the first new US primary aluminum smelter since 1980, backed by a $500M DOE grant [1]. Sale of curtailed Hawesville smelter for $287.9M with 6.8% retained equity in AI data center redevelopment demonstrates creative capital reallocation [1]. AI Deployment (0/2): No internal AI deployment; the Hawesville-to-AI data center conversion is an asset disposition, not Century deploying AI in its own operations. Market Share (2/2): Largest US primary aluminum producer in a structurally constrained domestic market where tariff protections have elevated the strategic importance of remaining domestic capacity [1][6]. Product Pipeline (0/2): Oklahoma smelter is a multi-year build with no near-term revenue visibility and uncertain final investment timeline. R&amp;D Intensity (0/1): Commodity aluminum smelting with minimal R&amp;D spend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Century positions itself around domestic aluminum production for national security and supply-chain resilience — CEO Gary has publicly warned that the US aluminum supply chain is 'so thin a single fire could trigger a nationwide crisis' [1]. Clear purpose but framed primarily as policy advocacy rather than a transformative vision. Community Impact (1/2): Operates in distressed industrial communities (West Virginia) providing meaningful blue-collar employment with unionized workforce. Employee Retention (0/2): Glassdoor rating of 2.7/5.0 across 58+ reviews is significantly below average, with employees citing 'majorly toxic culture' and a 'good ol boy network' with discrimination allegations against women and minorities [4]. Only 32% recommend the company. Insider Buying (0/2): Net insider selling of $2.4M over the last 12 months as executives sold into the stock's 296% 52-week appreciation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marked a step-change in Century's financial profile driven by tariff protections and higher LME aluminum prices. D/E of 47.0% is well below the 70% target ($545.9M debt, $244.1M cash) [3]. ROE of 32.26% exceeds the 15% target, reflecting dramatically improved profitability including the $287.9M Hawesville gain [1][3]. TTM revenue of $2.54B grew 7.55% YoY [6]. Forward P/E of 6.13 is far below the 20 target, reflecting analyst expectations of sustained strong earnings from tariff-driven premiums [3]. Profit margin of 13.7% is moderate but partly elevated by one-time gains [1]. Forward PEG of 0.42 indicates exceptional value relative to expected growth [3]. Weighted calculation: D/E 1.0 (1x) + ROE 1.0 (2x) + RevYoY 0.92 (1x) + FwdPE 1.0 (1x) + Margin 0.69 (1x) + FwdPEG 1.0 (2x) = 7.61/8 = 9.5 -&gt; rounds to 10. Liquidity: ~2.7M avg volume at ~$67.90 = $183M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Century Aluminum demonstrates some strategic thinking through the Oklahoma greenfield commitment and Hawesville-to-AI conversion, but the company's overall posture is finite. The purpose is framed around policy positioning rather than a transformative vision, the organizational culture is deeply troubled per employee reviews, and the business strategy depends on tariff protections rather than competitive superiority. Leadership is selling stock into strength rather than expressing long-term conviction.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Century's domestic aluminum production framing connects to national security, but it reads as policy positioning rather than a genuine Just Cause. The company's strategic decisions are driven by tariff economics and government incentives, not by a vision of a better future that would survive without policy support [1]. CEO Gary's supply chain warnings are genuine but serve advocacy purposes rather than inspiring internal alignment.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2.7/5.0 with culture and values rated 2.3/5.0 indicates a low-trust environment [4]. Employee reviews describe a 'majorly toxic culture' with a 'good ol boy network' and allegations that women and minorities are 'regularly passed over for promotions in favor of less qualified white males.' Only 32% of employees recommend the company. These are hallmarks of an organization where people protect themselves rather than advance a shared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Century's competitive framing emphasizes beating Chinese imports through tariff protections rather than learning from or being motivated by worthy rivals like Alcoa, Rio Tinto, or Norsk Hydro [1]. Management language focuses on policy advocacy and domestic production advantages rather than competitive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Repositioning the Hawesville smelter site from aluminum production to AI data center hosting — with 6.8% retained equity — demonstrates willingness to creatively monetize legacy assets [1]. The Oklahoma JV with Emirates Global Aluminium represents partnership-driven scale-up in a new geography. These are incremental adaptations rather than transformative reinventions, but they show a company evolving its asset portfolio.</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to a multi-billion-dollar Oklahoma greenfield smelter — the first new US smelter since 1980 — is a long-duration capital bet that won't generate revenue for years [1]. Selling Hawesville for $287.9M and retaining equity in an AI data center conversion shows strategic discipline in exiting a stranded asset. However, both decisions were enabled by DOE grants and favorable market conditions rather than leadership sacrificing near-term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Century Aluminum is the largest US primary aluminum producer at the center of an aluminum renaissance driven by tariff protections on imported aluminum and surging LME prices. Q1 2026 delivered $649.2M net sales with adjusted net income of $170.7M (adjusted EPS $1.63, beating consensus $1.56) and adjusted EBITDA of $231.4M [1][6]. Q2 2026 EBITDA guidance of $315-335M implies massive sequential improvement driven by higher realized LME prices and regional premiums [1]. The financial profile is exceptional: forward P/E of 6.13, PEG of 0.42, ROE of 32.26%, and clean balance sheet with D/E of 47% [3]. The Oklahoma greenfield JV with Emirates Global Aluminium — first new US smelter since 1980, backed by $500M DOE grant — positions Century to significantly expand domestic capacity over the next decade [1].</w:t>
      </w:r>
    </w:p>
    <w:p>
      <w:pPr>
        <w:spacing w:after="120"/>
      </w:pPr>
      <w:r>
        <w:rPr>
          <w:rFonts w:ascii="Calibri" w:hAnsi="Calibri"/>
          <w:b w:val="0"/>
          <w:color w:val="3A4A28"/>
          <w:sz w:val="20"/>
        </w:rPr>
        <w:t>The bear case centers on the cyclical, policy-dependent nature of Century's profitability. The stock has risen 296% in 52 weeks, pricing in peak tariff-driven earnings that may not prove durable if trade policy shifts [3]. Q1 2026 GAAP net income of $337.5M includes $287.9M in one-time Hawesville gains and $33M in insurance proceeds, significantly inflating reported profitability [1]. The company's severely poor organizational culture (Glassdoor 2.7/5.0 with 'toxic' reviews and discrimination allegations) poses operational and legal risk [4]. Net insider selling of $2.4M suggests management views current prices as elevated. Energy costs (30-40% of smelting costs) remain a structural risk, and the Oklahoma smelter faces multi-year execution and capital risk. Without tariff protections, Century's competitive position against lower-cost global producers would deteriorate rapidly.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adjusted EBITDA guidance of $315-335M represents 36-45% sequential improvement, driven by higher realized LME aluminum prices and strengthening US regional premiums</w:t>
      </w:r>
    </w:p>
    <w:p>
      <w:pPr>
        <w:spacing w:before="40" w:after="40"/>
        <w:ind w:left="283"/>
      </w:pPr>
      <w:r>
        <w:rPr>
          <w:rFonts w:ascii="Calibri" w:hAnsi="Calibri"/>
          <w:b/>
          <w:color w:val="4A6B25"/>
          <w:sz w:val="20"/>
        </w:rPr>
        <w:t xml:space="preserve">2. </w:t>
      </w:r>
      <w:r>
        <w:rPr>
          <w:rFonts w:ascii="Calibri" w:hAnsi="Calibri"/>
          <w:b w:val="0"/>
          <w:color w:val="3A4A28"/>
          <w:sz w:val="20"/>
        </w:rPr>
        <w:t>Oklahoma greenfield smelter JV with Emirates Global Aluminium backed by $500M DOE grant — first new US primary aluminum smelter since 1980, positioning Century for long-term domestic capacity expansion</w:t>
      </w:r>
    </w:p>
    <w:p>
      <w:pPr>
        <w:spacing w:before="40" w:after="40"/>
        <w:ind w:left="283"/>
      </w:pPr>
      <w:r>
        <w:rPr>
          <w:rFonts w:ascii="Calibri" w:hAnsi="Calibri"/>
          <w:b/>
          <w:color w:val="4A6B25"/>
          <w:sz w:val="20"/>
        </w:rPr>
        <w:t xml:space="preserve">3. </w:t>
      </w:r>
      <w:r>
        <w:rPr>
          <w:rFonts w:ascii="Calibri" w:hAnsi="Calibri"/>
          <w:b w:val="0"/>
          <w:color w:val="3A4A28"/>
          <w:sz w:val="20"/>
        </w:rPr>
        <w:t>Hawesville sale for $287.9M plus 6.8% retained equity in AI data center redevelopment converts a stranded industrial asset into AI-linked optionality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are heavily dependent on US tariff policy — any reduction or removal of aluminum import tariffs would collapse the domestic pricing premium that drives Century's exceptional current profitability</w:t>
      </w:r>
    </w:p>
    <w:p>
      <w:pPr>
        <w:spacing w:before="40" w:after="40"/>
        <w:ind w:left="283"/>
      </w:pPr>
      <w:r>
        <w:rPr>
          <w:rFonts w:ascii="Calibri" w:hAnsi="Calibri"/>
          <w:b/>
          <w:color w:val="4A6B25"/>
          <w:sz w:val="20"/>
        </w:rPr>
        <w:t xml:space="preserve">2. </w:t>
      </w:r>
      <w:r>
        <w:rPr>
          <w:rFonts w:ascii="Calibri" w:hAnsi="Calibri"/>
          <w:b w:val="0"/>
          <w:color w:val="3A4A28"/>
          <w:sz w:val="20"/>
        </w:rPr>
        <w:t>Stock has appreciated 296% in 52 weeks with net insider selling of $2.4M, suggesting potential peak-cycle valuation that may compress sharply if aluminum prices normalize</w:t>
      </w:r>
    </w:p>
    <w:p>
      <w:pPr>
        <w:spacing w:before="40" w:after="40"/>
        <w:ind w:left="283"/>
      </w:pPr>
      <w:r>
        <w:rPr>
          <w:rFonts w:ascii="Calibri" w:hAnsi="Calibri"/>
          <w:b/>
          <w:color w:val="4A6B25"/>
          <w:sz w:val="20"/>
        </w:rPr>
        <w:t xml:space="preserve">3. </w:t>
      </w:r>
      <w:r>
        <w:rPr>
          <w:rFonts w:ascii="Calibri" w:hAnsi="Calibri"/>
          <w:b w:val="0"/>
          <w:color w:val="3A4A28"/>
          <w:sz w:val="20"/>
        </w:rPr>
        <w:t>Glassdoor rating of 2.7/5.0 with toxic culture allegations and discrimination complaints indicates organizational dysfunction that creates operational risk, employee retention challenges, and potential legal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Primary aluminum smelting is a textbook IMMUNE business — physical-world heavy industry that AI structurally cannot displace. The Hall-Heroult electrolytic process requires massive energy inputs, specialized facilities, and industrial infrastructure entirely beyond AI's capabilities [1]. AI is a positive demand driver: data centers consume significant aluminum for cooling systems, racks, and transmission infrastructure. No analyst has flagged AI as a risk to Century's business model. AI Opportunity (1/1): Century retained 6.8% equity in the Hawesville site's redevelopment as an AI data center hub, generating direct AI-linked value from what was a stranded smelter asset [1]. This creates quantifiable AI-related economic interest.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Century Aluminum Q1 2026 Earnings Release, Q2 Guidance, and Hawesville Sale Disclosure, May 2026</w:t>
      </w:r>
    </w:p>
    <w:p>
      <w:pPr>
        <w:spacing w:before="20" w:after="20"/>
        <w:ind w:left="170"/>
      </w:pPr>
      <w:r>
        <w:rPr>
          <w:rFonts w:ascii="Calibri" w:hAnsi="Calibri"/>
          <w:b/>
          <w:color w:val="4A6B25"/>
          <w:sz w:val="15"/>
        </w:rPr>
        <w:t xml:space="preserve">2. </w:t>
      </w:r>
      <w:r>
        <w:rPr>
          <w:rFonts w:ascii="Calibri" w:hAnsi="Calibri"/>
          <w:b w:val="0"/>
          <w:color w:val="3A4A28"/>
          <w:sz w:val="17"/>
        </w:rPr>
        <w:t>Century Aluminum Q4 2025 Earnings Release and Full-Year Results, February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Yahoo Finance — CENX Key Statistics and Valuation Metrics,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Glassdoor — Century Aluminum Employee Reviews and Ratings (2.7/5.0, 58+ reviews),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CSRHub / Sustainalytics — Century Aluminum ESG Risk Assessment,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Alcircle — Century Aluminum Q1 2026 Net Sales and Shipment Analysis,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