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CERT</w:t>
      </w:r>
      <w:r>
        <w:rPr>
          <w:rFonts w:ascii="Calibri" w:hAnsi="Calibri"/>
          <w:b/>
          <w:color w:val="1A2010"/>
          <w:sz w:val="40"/>
        </w:rPr>
        <w:t xml:space="preserve">  Certara, Inc.</w:t>
      </w:r>
    </w:p>
    <w:p>
      <w:pPr>
        <w:spacing w:after="120"/>
      </w:pPr>
      <w:r>
        <w:rPr>
          <w:rFonts w:ascii="Calibri" w:hAnsi="Calibri"/>
          <w:b/>
          <w:color w:val="6E8450"/>
          <w:sz w:val="18"/>
        </w:rPr>
        <w:t>GROWTH SLEEVE · 2026-07-10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Care Technology · NASDAQ · United States</w:t>
      </w:r>
    </w:p>
    <w:p>
      <w:pPr>
        <w:spacing w:after="80"/>
      </w:pPr>
      <w:r>
        <w:rPr>
          <w:rFonts w:ascii="Calibri" w:hAnsi="Calibri"/>
          <w:b w:val="0"/>
          <w:color w:val="3A4A28"/>
          <w:sz w:val="20"/>
        </w:rPr>
        <w:t>Certara, Inc. provides biosimulation, regulatory science, and market access solutions to optimize drug development and commercialization for biopharmaceutical companies and regulatory agencies. The company's software platform includes Simcyp for physiologically based pharmacokinetic modeling and CoAuthor AI for regulatory writing automation. Certara serves clients across 30+ countries with a workforce that is 28% PhD-level scientists. FY2025 revenue was $418.8 million.</w:t>
      </w:r>
    </w:p>
    <w:p>
      <w:r>
        <w:rPr>
          <w:rFonts w:ascii="Calibri" w:hAnsi="Calibri"/>
          <w:b/>
          <w:color w:val="6E8450"/>
          <w:sz w:val="18"/>
        </w:rPr>
        <w:t>1,550 Employees · https://www.certara.com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Certara has expanded from traditional consulting into a software-first biosimulation platform, growing software revenue 7% YoY to $49.7M in Q1 2026, but also divested its Regulatory and Medical Writing business for $85M, narrowing focus [1][5]. The strategic shift is incremental rather than transformative. AI Deployment (2/2): CoAuthor, Certara's generative AI product, automates regulatory and medical writing, enabling clients to draft documents, analyze data, and generate insights at unprecedented speeds. Dr. Chris Bouton, appointed CTO, is driving democratization of model-informed drug development (MIDD) through AI, making advanced modeling accessible to non-experts [4]. These are shipping AI products with measurable client adoption. Market Share (1/2): Certara's Simcyp biosimulation platform is used by global regulatory agencies including the FDA and has been cited in over 70% of new drug applications that reference PBPK models, establishing a meaningful position in model-informed drug development [2]. Product Pipeline (1/2): Next-generation MIDD and quantitative systems pharmacology (QSP) software under development, with expanded CoAuthor AI capabilities and new CTO Dr. Bouton driving the AI roadmap [4]. Specific product launch dates are not disclosed. R&amp;D Intensity (1/1): Capitalized software development of $6.2M in Q1 2026 on $106.9M revenue (~6%), with additional R&amp;D embedded in services operations, represents above-average technology investment for the health care technology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Certara's purpose centers on 'accelerating crucial medicines to patients' through biosimulation and regulatory science — clear and meaningful but not distinctive among health tech companies. The mission identifies what the company does and its impact on patient outcomes, but does not articulate a deeper purpose that differentiates from peers like Veeva or IQVIA. Community Impact (0/2): ESG report highlights scientific thought leadership and knowledge sharing but cites no specific charitable programs, community investment dollar amounts, or foundation activities [2]. Employee Retention (1/2): Certara's workforce is 28% PhD-level scientists across 30+ countries, suggesting a specialized knowledge-worker culture that retains expert talent [1]. However, no specific retention metrics, employee tenure data, or voluntary turnover figures are publicly available. Insider Buying (0/2): New CEO Jon Resnick started January 2026; no data on insider buying activity during the leadership transition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weights. Q1 2026 revenue of $106.9M grew just 1% YoY, with software revenue up 7% offset by services revenue declining 4% [1]. Net loss of $8.8M in Q1 2026 (versus $4.7M income in Q1 2025) resulted in negative profit margin of -8.2% and negative ROE of -1.4% TTM, both scoring zero [1]. Balance sheet strength provides partial offset: D/E of 28.5% ($289.5M long-term debt against $1.017B equity) scores at maximum, and 5-year revenue CAGR of approximately 10% (from ~$250M in 2020 to $418.8M in 2025) hits the target [2]. Forward PE of 22.44 scores at 94% of target. FY2026 guidance of $395-405M revenue with 30-32% adjusted EBITDA margin reflects the Regulatory and Medical Writing divestiture impact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Certara is navigating a CEO transition (Jon Resnick from IQVIA replaced William Feehery in January 2026) while strategically pivoting from services-heavy to software-first through the Regulatory and Medical Writing divestiture. The company's purpose is genuine but conventional for health tech, and the leadership transition combined with strategic restructuring reflects operational pragmatism rather than infinite game commitment to a cause that transcends any individual leader or quarter.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Certara's mission of 'accelerating crucial medicines to patients' connects the company's biosimulation work to patient outcomes, which is genuine but standard for the health tech sector. The mission has not been validated by decades of consistent strategic decisions — the company went public in 2020, had a CEO change in 2026, and divested a business line in 2026 [3][5]. It is too early to tell whether this purpose will endure through sustained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Certara's workforce of 28% PhD-level scientists across 30+ countries suggests a specialized, knowledge-worker culture that values expertise [1]. The leadership continuity of having a CTO focused on AI innovation and internal promotions of scientists indicates some organizational trust. However, the CEO transition from Feehery to Resnick in January 2026 introduces leadership change risk, and no specific employee satisfaction or cultural data is publicly available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Certara competes with Simulations Plus, Veeva Systems, and IQVIA (notably, new CEO Jon Resnick came from IQVIA) in the drug development technology space. No evidence that management frames competition as motivation for improvement or acknowledges competitors' strengths in public commentary. The competitive language is about market leadership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Certara is pivoting from a consulting-heavy business model (services were 56% of Q1 2026 revenue) toward a software-first platform through the Regulatory and Medical Writing divestiture and CoAuthor AI investment [1][5]. This is an incremental strategic evolution rather than a transformative reinvention — the company is staying in drug development technology but shifting the revenue mix from services to software.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divestiture of the Regulatory and Medical Writing business for $85M in May 2026 was a difficult decision to narrow strategic focus, accepting near-term revenue reduction (FY2026 guidance lowered to $395-405M) to concentrate on higher-margin, higher-growth biosimulation software [5]. Appointing Dr. Chris Bouton as CTO to lead the AI transformation shows commitment to long-term technology investment [4]. However, these are early-stage decisions without a track record of sustained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Certara occupies a structurally advantaged position in drug development technology: its Simcyp biosimulation platform is referenced in over 70% of FDA new drug applications using PBPK models, creating deep regulatory moats and switching costs [2]. The strategic pivot to software-first (software bookings up 20% YoY to $48.7M in Q1 2026) and the CoAuthor AI product position the company at the intersection of biosimulation and generative AI, two secular growth trends in pharma R&amp;D [1][4]. New CEO Jon Resnick brings IQVIA expertise, and the Regulatory and Medical Writing divestiture for $85M sharpens focus on the highest-margin, most defensible business lines [3][5].</w:t>
      </w:r>
    </w:p>
    <w:p>
      <w:pPr>
        <w:spacing w:after="120"/>
      </w:pPr>
      <w:r>
        <w:rPr>
          <w:rFonts w:ascii="Calibri" w:hAnsi="Calibri"/>
          <w:b w:val="0"/>
          <w:color w:val="3A4A28"/>
          <w:sz w:val="20"/>
        </w:rPr>
        <w:t>However, the near-term financial picture is concerning. Q1 2026 delivered just 1% total revenue growth and swung to a net loss of $8.8M versus $4.7M income a year earlier, with adjusted EBITDA declining 9% to $31.7M [1]. FY2026 guidance of $395-405M revenue (flat to 4% growth ex-divestiture) and 30-32% adjusted EBITDA margin suggests a company in transition with no near-term growth acceleration. The stock at $6.10 reflects this uncertainty — down significantly from its post-IPO peak — and the negative trailing profit margin and ROE raise questions about the path to sustained profitability. Services revenue (57% of total) declined 4% and faces structural AI substitution risk as the tools Certara itself is building (CoAuthor) commoditize the very consulting work that generates the majority of current revenue [1]. Forward PE of 22.4x is elevated for a company with flat growth and negative GAAP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CoAuthor AI product adoption accelerating regulatory writing automation across pharma clients, driving software bookings growth above the 20% rate achieved in Q1 2026 and shifting revenue mix toward higher-margin software [1][4]</w:t>
      </w:r>
    </w:p>
    <w:p>
      <w:pPr>
        <w:spacing w:before="40" w:after="40"/>
        <w:ind w:left="283"/>
      </w:pPr>
      <w:r>
        <w:rPr>
          <w:rFonts w:ascii="Calibri" w:hAnsi="Calibri"/>
          <w:b/>
          <w:color w:val="4A6B25"/>
          <w:sz w:val="20"/>
        </w:rPr>
        <w:t xml:space="preserve">2. </w:t>
      </w:r>
      <w:r>
        <w:rPr>
          <w:rFonts w:ascii="Calibri" w:hAnsi="Calibri"/>
          <w:b w:val="0"/>
          <w:color w:val="3A4A28"/>
          <w:sz w:val="20"/>
        </w:rPr>
        <w:t>New CEO Jon Resnick executing the software-first strategy with IQVIA commercial expertise, potentially unlocking cross-selling and enterprise deal growth that predecessors could not achieve [3]</w:t>
      </w:r>
    </w:p>
    <w:p>
      <w:pPr>
        <w:spacing w:before="40" w:after="40"/>
        <w:ind w:left="283"/>
      </w:pPr>
      <w:r>
        <w:rPr>
          <w:rFonts w:ascii="Calibri" w:hAnsi="Calibri"/>
          <w:b/>
          <w:color w:val="4A6B25"/>
          <w:sz w:val="20"/>
        </w:rPr>
        <w:t xml:space="preserve">3. </w:t>
      </w:r>
      <w:r>
        <w:rPr>
          <w:rFonts w:ascii="Calibri" w:hAnsi="Calibri"/>
          <w:b w:val="0"/>
          <w:color w:val="3A4A28"/>
          <w:sz w:val="20"/>
        </w:rPr>
        <w:t>Post-divestiture operational simplification enabling margin expansion beyond the 30-32% adjusted EBITDA guidance as lower-margin Regulatory and Medical Writing revenue is removed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Services revenue (57% of total) declining 4% YoY faces structural AI substitution risk as generative AI tools — including Certara's own CoAuthor — commoditize regulatory consulting and writing work [1]</w:t>
      </w:r>
    </w:p>
    <w:p>
      <w:pPr>
        <w:spacing w:before="40" w:after="40"/>
        <w:ind w:left="283"/>
      </w:pPr>
      <w:r>
        <w:rPr>
          <w:rFonts w:ascii="Calibri" w:hAnsi="Calibri"/>
          <w:b/>
          <w:color w:val="4A6B25"/>
          <w:sz w:val="20"/>
        </w:rPr>
        <w:t xml:space="preserve">2. </w:t>
      </w:r>
      <w:r>
        <w:rPr>
          <w:rFonts w:ascii="Calibri" w:hAnsi="Calibri"/>
          <w:b w:val="0"/>
          <w:color w:val="3A4A28"/>
          <w:sz w:val="20"/>
        </w:rPr>
        <w:t>CEO transition risk with Jon Resnick just six months into the role, inheriting a company in strategic transition with flat revenue growth and negative GAAP profitability [3]</w:t>
      </w:r>
    </w:p>
    <w:p>
      <w:pPr>
        <w:spacing w:before="40" w:after="40"/>
        <w:ind w:left="283"/>
      </w:pPr>
      <w:r>
        <w:rPr>
          <w:rFonts w:ascii="Calibri" w:hAnsi="Calibri"/>
          <w:b/>
          <w:color w:val="4A6B25"/>
          <w:sz w:val="20"/>
        </w:rPr>
        <w:t xml:space="preserve">3. </w:t>
      </w:r>
      <w:r>
        <w:rPr>
          <w:rFonts w:ascii="Calibri" w:hAnsi="Calibri"/>
          <w:b w:val="0"/>
          <w:color w:val="3A4A28"/>
          <w:sz w:val="20"/>
        </w:rPr>
        <w:t>Forward PE of 22.4x and negative trailing profit margin create valuation vulnerability if the software-first pivot fails to accelerate growth beyond the 0-4% FY2026 guidance range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Certara's biosimulation platform occupies a protected niche — regulatory agencies (FDA, EMA) have accepted and validated Certara's Simcyp models in drug approval processes, creating significant switching costs and regulatory moats that AI alone cannot replicate [2]. The company's proprietary drug-biology interaction databases represent decades of accumulated knowledge. However, the services business (57% of Q1 2026 revenue) faces meaningful AI substitution risk as generative AI tools can automate regulatory writing and consulting tasks — which Certara itself is accelerating through CoAuthor [1][4]. Big pharma could build in-house AI capabilities that reduce demand for Certara's consulting services. AI Opportunity (1/1): CoAuthor AI is a shipping generative AI product generating client revenue through automated regulatory and medical writing. Software bookings grew 20% YoY to $48.7M in Q1 2026, partially driven by AI product adoption [1][4]. Certara is both using AI and selling AI-powered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Certara Q1 2026 Financial Results — certara.com/ir, May 11, 2026</w:t>
      </w:r>
    </w:p>
    <w:p>
      <w:pPr>
        <w:spacing w:before="20" w:after="20"/>
        <w:ind w:left="170"/>
      </w:pPr>
      <w:r>
        <w:rPr>
          <w:rFonts w:ascii="Calibri" w:hAnsi="Calibri"/>
          <w:b/>
          <w:color w:val="4A6B25"/>
          <w:sz w:val="15"/>
        </w:rPr>
        <w:t xml:space="preserve">2. </w:t>
      </w:r>
      <w:r>
        <w:rPr>
          <w:rFonts w:ascii="Calibri" w:hAnsi="Calibri"/>
          <w:b w:val="0"/>
          <w:color w:val="3A4A28"/>
          <w:sz w:val="17"/>
        </w:rPr>
        <w:t>Certara FY2025 Results and FY2026 Guidance — certara.com, February 2026</w:t>
      </w:r>
    </w:p>
    <w:p>
      <w:pPr>
        <w:spacing w:before="20" w:after="20"/>
        <w:ind w:left="170"/>
      </w:pPr>
      <w:r>
        <w:rPr>
          <w:rFonts w:ascii="Calibri" w:hAnsi="Calibri"/>
          <w:b/>
          <w:color w:val="4A6B25"/>
          <w:sz w:val="15"/>
        </w:rPr>
        <w:t xml:space="preserve">3. </w:t>
      </w:r>
      <w:r>
        <w:rPr>
          <w:rFonts w:ascii="Calibri" w:hAnsi="Calibri"/>
          <w:b w:val="0"/>
          <w:color w:val="3A4A28"/>
          <w:sz w:val="17"/>
        </w:rPr>
        <w:t>Certara Appoints Jon Resnick as CEO — Yahoo Finance, November 2025</w:t>
      </w:r>
    </w:p>
    <w:p>
      <w:pPr>
        <w:spacing w:before="20" w:after="20"/>
        <w:ind w:left="170"/>
      </w:pPr>
      <w:r>
        <w:rPr>
          <w:rFonts w:ascii="Calibri" w:hAnsi="Calibri"/>
          <w:b/>
          <w:color w:val="4A6B25"/>
          <w:sz w:val="15"/>
        </w:rPr>
        <w:t xml:space="preserve">4. </w:t>
      </w:r>
      <w:r>
        <w:rPr>
          <w:rFonts w:ascii="Calibri" w:hAnsi="Calibri"/>
          <w:b w:val="0"/>
          <w:color w:val="3A4A28"/>
          <w:sz w:val="17"/>
        </w:rPr>
        <w:t>Certara Appoints Dr. Chris Bouton as CTO for AI Strategy — certara.com, 2025</w:t>
      </w:r>
    </w:p>
    <w:p>
      <w:pPr>
        <w:spacing w:before="20" w:after="20"/>
        <w:ind w:left="170"/>
      </w:pPr>
      <w:r>
        <w:rPr>
          <w:rFonts w:ascii="Calibri" w:hAnsi="Calibri"/>
          <w:b/>
          <w:color w:val="4A6B25"/>
          <w:sz w:val="15"/>
        </w:rPr>
        <w:t xml:space="preserve">5. </w:t>
      </w:r>
      <w:r>
        <w:rPr>
          <w:rFonts w:ascii="Calibri" w:hAnsi="Calibri"/>
          <w:b w:val="0"/>
          <w:color w:val="3A4A28"/>
          <w:sz w:val="17"/>
        </w:rPr>
        <w:t>Certara Regulatory and Medical Writing Divestiture for $85M — GlobeNewsWire,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CERT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