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CE</w:t>
      </w:r>
      <w:r>
        <w:rPr>
          <w:rFonts w:ascii="Calibri" w:hAnsi="Calibri"/>
          <w:b/>
          <w:color w:val="1A2010"/>
          <w:sz w:val="40"/>
        </w:rPr>
        <w:t xml:space="preserve">  Celanese Corporation</w:t>
      </w:r>
    </w:p>
    <w:p>
      <w:pPr>
        <w:spacing w:after="120"/>
      </w:pPr>
      <w:r>
        <w:rPr>
          <w:rFonts w:ascii="Calibri" w:hAnsi="Calibri"/>
          <w:b/>
          <w:color w:val="6E8450"/>
          <w:sz w:val="18"/>
        </w:rPr>
        <w:t>GROWTH SLEEVE · 2026-07-13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Specialty Chemicals · NYSE · United States</w:t>
      </w:r>
    </w:p>
    <w:p>
      <w:pPr>
        <w:spacing w:after="80"/>
      </w:pPr>
      <w:r>
        <w:rPr>
          <w:rFonts w:ascii="Calibri" w:hAnsi="Calibri"/>
          <w:b w:val="0"/>
          <w:color w:val="3A4A28"/>
          <w:sz w:val="20"/>
        </w:rPr>
        <w:t>Celanese Corporation is a global chemical and specialty materials company producing engineered polymers and acetyl-based intermediary chemicals for consumer and industrial applications. Following its $11B acquisition of DuPont's Mobility &amp; Materials business in 2022, it operates two segments: Engineered Materials ($1.3B quarterly net sales, 25% margins) and Acetyl Chain ($1.0B quarterly net sales, 19% margins). Headquartered in Irving, Texas.</w:t>
      </w:r>
    </w:p>
    <w:p>
      <w:r>
        <w:rPr>
          <w:rFonts w:ascii="Calibri" w:hAnsi="Calibri"/>
          <w:b/>
          <w:color w:val="6E8450"/>
          <w:sz w:val="18"/>
        </w:rPr>
        <w:t>10,000 Employees · https://www.celanese.com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$11B DuPont Mobility &amp; Materials acquisition in 2022 was a transformative deal that doubled Celanese's engineered materials portfolio, but execution has been troubled with $4.8B in goodwill impairments and a 95% dividend cut signaling integration challenges rather than successful innovation [1][2]. AI Deployment (1/2): Celanese has deployed an AI-driven digital platform for customer solutions and is applying agentic AI to materials science workflows, streamlining communication and creating tailored customer experiences, though no quantified revenue or savings figures have been reported [3]. Market Share (1/2): Celanese holds the #1 global position in acetyls production and is a top-3 engineered materials producer following the M&amp;M acquisition, but is not defining a new category or gaining share [1]. Product Pipeline (0/2): No specific next-generation products with launch dates identified; management commentary focuses on cost structure optimization and deleveraging rather than product innovation [2]. R&amp;D Intensity (0/1): No specific R&amp;D spending data found; chemical industry peers typically invest 2-4% of revenue in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Celanese positions itself as a company creating value through responsible chemistry, but CEO Scott Richardson's public statements emphasize 'tenacious execution,' 'cost structure improvement,' and 'cash generation' — language oriented toward shareholder returns rather than a distinctive purpose [4]. The mission is interchangeable with any specialty chemicals peer. Community Impact (1/2): Celanese maintains a Sustainability Council with cross-functional senior leaders meeting quarterly, engages shareholders on environmental matters including sustainable product offerings and emissions tracking, and follows SASB/TCFD/GRI frameworks [5]. However, no specific dollar amounts for charitable giving or distinctive community programs were identified. Employee Retention (0/2): No specific retention or tenure data found. Recent restructuring, workforce reductions, and the 95% dividend cut suggest organizational instability that would undermine retention. Insider Buying (0/2): No evidence of meaningful net insider buying by CEO Richardson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on available metrics. Celanese's balance sheet is severely stressed with D/E of 288% driven by the debt-financed M&amp;M acquisition, against a 70% target, scoring 0.05 [1]. ROE of -21.1% and profit margin of -11.6% reflect TTM losses from goodwill impairments, scoring 0 on both metrics. Bright spots include an exceptionally low Forward P/E of 7.24 (scoring 1.0 vs 20 target) and Forward PEG of 0.25 (scoring 1.0 vs 1.0 target), reflecting deeply discounted valuation against analyst consensus of $5.99 FY2026 EPS [2]. Revenue declined approximately 6% YoY (TTM $9.49B vs prior-year ~$10.1B) and 5yr CAGR of ~3% partially offsets. Weighted sum: 4.59/10, rounding to 5/10. Liquidity check passes: 1.7M avg daily volume x $46.92 = $79.8M daily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Celanese under new CEO Scott Richardson operates with a decidedly finite mindset focused on near-term survival: deleveraging from the $13B debt burden, cutting the dividend 95%, and restructuring operations. The company's strategic language is dominated by cost optimization, cash generation, and debt reduction — necessary for survival but reflecting no vision beyond the current crisis. The M&amp;M acquisition that created this predicament was itself a finite move, buying growth through leverage rather than building it organically.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Celanese articulates a purpose around 'responsible chemistry' and creating value, but this is generic and interchangeable with any chemical peer [4]. CEO Richardson's stated priorities — 'tenacious execution,' 'cost structure improvement,' 'cash generation' — describe a company focused on financial survival, not advancing a future state that doesn't yet exist. The purpose doesn't shape strategic decisions; financial necessity does.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Celanese has undergone significant organizational upheaval — CEO transition in January 2025, workforce reductions, 95% dividend cut, and restructuring of leadership roles [4]. Employee feedback cites corporate politics interfering with teamwork, lack of growth support, and management not listening to employees. The 2024-2025 restructuring period has created an environment where employees are focused on job security rather than advancing the company's mission.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Celanese's competitive language focuses on market position and cost competitiveness rather than learning from rivals. The M&amp;M acquisition was framed as capturing market share and scale, not as a response to rivals' strengths revealing Celanese's weaknesses. No evidence of management referencing competitors'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$11B DuPont M&amp;M acquisition in 2022 represented a genuine strategic transformation — doubling the engineered materials business and fundamentally reshaping Celanese from an acetyls-focused company to a diversified specialty materials platform [1]. This was not an incremental change but a company-defining bet. However, execution has been troubled with impairments and a debt crisis, and the pivot appears driven more by financial engineering than by a Just Cause demanding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Richardson made the painful decision to slash the quarterly dividend by 95% (from ~$0.70 to $0.03) in Q1 2025 to preserve cash for deleveraging — sacrificing near-term shareholder returns for long-term balance sheet health [2]. The company also raised full-year 2026 FCF guidance to $700-800M after Q1 results. However, the dividend cut was arguably forced by financial stress rather than a proactive strategic choice, and the M&amp;M acquisition that created the debt crisis reflects questionable prior capital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Celanese trades at a deeply discounted 7.2x forward earnings with a Forward PEG of 0.25, reflecting significant turnaround potential if management can execute on deleveraging and margin recovery [1][2]. Q1 2026 showed early stabilization with $2.3B revenue (6% sequential growth), operating EBITDA of $455M at 20% margins, and raised full-year FCF guidance to $700-800M. Engineered Materials delivered 25% margins and the Acetyl Chain generated 19% margins, demonstrating the core businesses remain profitable on an operating basis despite the GAAP losses. Analysts forecast $5.99 EPS for FY2026, representing a significant recovery from the TTM loss driven by one-time goodwill impairments.</w:t>
      </w:r>
    </w:p>
    <w:p>
      <w:pPr>
        <w:spacing w:after="120"/>
      </w:pPr>
      <w:r>
        <w:rPr>
          <w:rFonts w:ascii="Calibri" w:hAnsi="Calibri"/>
          <w:b w:val="0"/>
          <w:color w:val="3A4A28"/>
          <w:sz w:val="20"/>
        </w:rPr>
        <w:t>The bear case centers on the crushing $13.2B debt load against $1.4B cash, producing a D/E ratio of 288% and net debt-to-EBITDA of ~4.8x [1]. The 95% dividend cut signals the severity of the balance sheet stress, and deleveraging to a sustainable level will require years of cash flow allocation away from growth investment. Revenue has declined approximately 6% YoY and the company faces secular headwinds in automotive and construction end markets. The $4.8B goodwill impairment on the M&amp;M acquisition raises questions about whether management overpaid, and ROE of -21% demonstrates capital destruction from the deal. The EPA's designation of formaldehyde as a high-priority substance under TSCA creates regulatory overhang for the Acetyl Chain segment [5]. If the cyclical recovery in chemicals is delayed, the company's financial flexibility is severely limited.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EPS recovery to analyst consensus of $5.99 from TTM loss, driven by $455M quarterly EBITDA run-rate and cost structure improvements post-restructuring</w:t>
      </w:r>
    </w:p>
    <w:p>
      <w:pPr>
        <w:spacing w:before="40" w:after="40"/>
        <w:ind w:left="283"/>
      </w:pPr>
      <w:r>
        <w:rPr>
          <w:rFonts w:ascii="Calibri" w:hAnsi="Calibri"/>
          <w:b/>
          <w:color w:val="4A6B25"/>
          <w:sz w:val="20"/>
        </w:rPr>
        <w:t xml:space="preserve">2. </w:t>
      </w:r>
      <w:r>
        <w:rPr>
          <w:rFonts w:ascii="Calibri" w:hAnsi="Calibri"/>
          <w:b w:val="0"/>
          <w:color w:val="3A4A28"/>
          <w:sz w:val="20"/>
        </w:rPr>
        <w:t>Deleveraging path from ~4.8x to sub-4x net debt-to-EBITDA by year-end 2026 through $700-800M FCF allocation to debt reduction, potentially enabling future dividend restoration</w:t>
      </w:r>
    </w:p>
    <w:p>
      <w:pPr>
        <w:spacing w:before="40" w:after="40"/>
        <w:ind w:left="283"/>
      </w:pPr>
      <w:r>
        <w:rPr>
          <w:rFonts w:ascii="Calibri" w:hAnsi="Calibri"/>
          <w:b/>
          <w:color w:val="4A6B25"/>
          <w:sz w:val="20"/>
        </w:rPr>
        <w:t xml:space="preserve">3. </w:t>
      </w:r>
      <w:r>
        <w:rPr>
          <w:rFonts w:ascii="Calibri" w:hAnsi="Calibri"/>
          <w:b w:val="0"/>
          <w:color w:val="3A4A28"/>
          <w:sz w:val="20"/>
        </w:rPr>
        <w:t>Engineered Materials volume recovery in automotive and electronics end markets as inventory destocking cycle completes and new polymer platform wins convert to production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288% and $13.2B debt create existential risk if the chemicals cycle downturn extends — the company has minimal financial flexibility to absorb further revenue declines or impairments</w:t>
      </w:r>
    </w:p>
    <w:p>
      <w:pPr>
        <w:spacing w:before="40" w:after="40"/>
        <w:ind w:left="283"/>
      </w:pPr>
      <w:r>
        <w:rPr>
          <w:rFonts w:ascii="Calibri" w:hAnsi="Calibri"/>
          <w:b/>
          <w:color w:val="4A6B25"/>
          <w:sz w:val="20"/>
        </w:rPr>
        <w:t xml:space="preserve">2. </w:t>
      </w:r>
      <w:r>
        <w:rPr>
          <w:rFonts w:ascii="Calibri" w:hAnsi="Calibri"/>
          <w:b w:val="0"/>
          <w:color w:val="3A4A28"/>
          <w:sz w:val="20"/>
        </w:rPr>
        <w:t>Secular decline in key end markets (ICE automotive components, traditional construction materials) as electrification and alternative materials adoption accelerate, compressing Engineered Materials volumes</w:t>
      </w:r>
    </w:p>
    <w:p>
      <w:pPr>
        <w:spacing w:before="40" w:after="40"/>
        <w:ind w:left="283"/>
      </w:pPr>
      <w:r>
        <w:rPr>
          <w:rFonts w:ascii="Calibri" w:hAnsi="Calibri"/>
          <w:b/>
          <w:color w:val="4A6B25"/>
          <w:sz w:val="20"/>
        </w:rPr>
        <w:t xml:space="preserve">3. </w:t>
      </w:r>
      <w:r>
        <w:rPr>
          <w:rFonts w:ascii="Calibri" w:hAnsi="Calibri"/>
          <w:b w:val="0"/>
          <w:color w:val="3A4A28"/>
          <w:sz w:val="20"/>
        </w:rPr>
        <w:t>EPA designation of formaldehyde as a high-priority substance under TSCA creates regulatory overhang for Celanese's Acetyl Chain segment, which produces formaldehyde-based products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Celanese's core business — manufacturing engineered polymers and acetyl intermediary chemicals — involves physical-world operations, complex chemical processes, and decades of proprietary formulation IP that AI structurally cannot displace [1]. Chemical manufacturing requires physical plant infrastructure, EPA/TSCA regulatory compliance, and materials science expertise that exists outside AI's substitution capability. AI adoption across industries actually increases demand for advanced engineering materials in electronics, automotive, and medical devices. No analyst has flagged AI as a substitution risk for specialty chemicals. AI Opportunity (1/1): Celanese is actively deploying AI through its customer-facing digital platform using AI to streamline polymer grade selection and solutions delivery, and the company is applying agentic AI to materials science workflows for product development and operational efficiency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Celanese Q1 2026 Earnings Release — Form 8-K, SEC Filing, April 2026</w:t>
      </w:r>
    </w:p>
    <w:p>
      <w:pPr>
        <w:spacing w:before="20" w:after="20"/>
        <w:ind w:left="170"/>
      </w:pPr>
      <w:r>
        <w:rPr>
          <w:rFonts w:ascii="Calibri" w:hAnsi="Calibri"/>
          <w:b/>
          <w:color w:val="4A6B25"/>
          <w:sz w:val="15"/>
        </w:rPr>
        <w:t xml:space="preserve">2. </w:t>
      </w:r>
      <w:r>
        <w:rPr>
          <w:rFonts w:ascii="Calibri" w:hAnsi="Calibri"/>
          <w:b w:val="0"/>
          <w:color w:val="3A4A28"/>
          <w:sz w:val="17"/>
        </w:rPr>
        <w:t>Celanese FY2026 Guidance Update and Analyst Forecasts — Simply Wall St, ChartMill, Investing.com, May 2026</w:t>
      </w:r>
    </w:p>
    <w:p>
      <w:pPr>
        <w:spacing w:before="20" w:after="20"/>
        <w:ind w:left="170"/>
      </w:pPr>
      <w:r>
        <w:rPr>
          <w:rFonts w:ascii="Calibri" w:hAnsi="Calibri"/>
          <w:b/>
          <w:color w:val="4A6B25"/>
          <w:sz w:val="15"/>
        </w:rPr>
        <w:t xml:space="preserve">3. </w:t>
      </w:r>
      <w:r>
        <w:rPr>
          <w:rFonts w:ascii="Calibri" w:hAnsi="Calibri"/>
          <w:b w:val="0"/>
          <w:color w:val="3A4A28"/>
          <w:sz w:val="17"/>
        </w:rPr>
        <w:t>Celanese AI Innovation and Digital Platform — CIO Magazine, GetTransport Blog, 2025-2026</w:t>
      </w:r>
    </w:p>
    <w:p>
      <w:pPr>
        <w:spacing w:before="20" w:after="20"/>
        <w:ind w:left="170"/>
      </w:pPr>
      <w:r>
        <w:rPr>
          <w:rFonts w:ascii="Calibri" w:hAnsi="Calibri"/>
          <w:b/>
          <w:color w:val="4A6B25"/>
          <w:sz w:val="15"/>
        </w:rPr>
        <w:t xml:space="preserve">4. </w:t>
      </w:r>
      <w:r>
        <w:rPr>
          <w:rFonts w:ascii="Calibri" w:hAnsi="Calibri"/>
          <w:b w:val="0"/>
          <w:color w:val="3A4A28"/>
          <w:sz w:val="17"/>
        </w:rPr>
        <w:t>Celanese CEO Scott Richardson Appointment and Leadership Commentary — Investors.celanese.com, StockTitan, January 2025</w:t>
      </w:r>
    </w:p>
    <w:p>
      <w:pPr>
        <w:spacing w:before="20" w:after="20"/>
        <w:ind w:left="170"/>
      </w:pPr>
      <w:r>
        <w:rPr>
          <w:rFonts w:ascii="Calibri" w:hAnsi="Calibri"/>
          <w:b/>
          <w:color w:val="4A6B25"/>
          <w:sz w:val="15"/>
        </w:rPr>
        <w:t xml:space="preserve">5. </w:t>
      </w:r>
      <w:r>
        <w:rPr>
          <w:rFonts w:ascii="Calibri" w:hAnsi="Calibri"/>
          <w:b w:val="0"/>
          <w:color w:val="3A4A28"/>
          <w:sz w:val="17"/>
        </w:rPr>
        <w:t>Celanese ESG and Sustainability Engagement — SEC Proxy Filing (DEF 14A), EPA Formaldehyde Review,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