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CGAU</w:t>
      </w:r>
      <w:r>
        <w:rPr>
          <w:rFonts w:ascii="Calibri" w:hAnsi="Calibri"/>
          <w:b/>
          <w:color w:val="1A2010"/>
          <w:sz w:val="40"/>
        </w:rPr>
        <w:t xml:space="preserve">  Centerra Gold Inc.</w:t>
      </w:r>
    </w:p>
    <w:p>
      <w:pPr>
        <w:spacing w:after="120"/>
      </w:pPr>
      <w:r>
        <w:rPr>
          <w:rFonts w:ascii="Calibri" w:hAnsi="Calibri"/>
          <w:b/>
          <w:color w:val="6E8450"/>
          <w:sz w:val="18"/>
        </w:rPr>
        <w:t>GROWTH SLEEVE · 2026-07-16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Centerra Gold is a Canadian-based gold and copper mining company operating the Mount Milligan gold-copper mine in British Columbia and the Oksut gold mine in Turkiye. The company also holds the Kemess copper-gold development project and molybdenum operations (Thompson Creek, Endako). FY2025 revenue reached $1.38B with net income of $584M, and Q1 2026 revenue surged 61.8% YoY to $484.7M. Proven and probable gold reserves grew 58% to 5.5M ounces in 2025.</w:t>
      </w:r>
    </w:p>
    <w:p>
      <w:r>
        <w:rPr>
          <w:rFonts w:ascii="Calibri" w:hAnsi="Calibri"/>
          <w:b/>
          <w:color w:val="6E8450"/>
          <w:sz w:val="18"/>
        </w:rPr>
        <w:t>https://www.centerragold.com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Centerra executed a meaningful operational turnaround following the 2021 Kumtor mine seizure — FY2025 revenue grew 14% to $1.38B with net income of $584M, and Q1 2026 revenue surged 61.8% to $484.7M with earnings up 160% YoY [1]. Proven and probable gold reserves increased 58% to 5.5M ounces in 2025, demonstrating strong exploration execution [2]. The Preliminary Economic Assessment for Kemess showed $1.1B after-tax NPV and 16% IRR, opening a significant new growth avenue. AI Deployment (0/2): No evidence of AI-powered products or quantified AI-driven operational savings. Mining operations remain traditional in technology adoption. Market Share (1/2): Centerra is a mid-tier gold producer with meaningful copper exposure but is not a category leader; it competes with substantially larger peers like Barrick, Newmont, and Agnico Eagle [2]. Product Pipeline (2/2): Kemess copper-gold project with $1.1B NPV provides clear next-generation growth visibility, and the Goldfield District project in Nevada adds further pipeline optionality with U.S.-based operations reducing geopolitical concentration [1]. R&amp;D Intensity (0/1): Mining companies have minimal traditional R&amp;D spending; Centerra's exploration budget is in line with peers but not a differentiator.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Centerra's stated purpose centers on responsible gold mining generating sustainable value for stakeholders — clear but not distinctive, interchangeable with most mid-tier mining companies. Community Impact (1/2): Centerra contributed $3.1M to community investments and donations in 2025, increased local and Indigenous procurement 43% to $191M, and delivered over 100,000 hours of health and safety training [3]. The company published its 2025 Sustainability Report with enhanced ESG disclosures and board diversity improvements. These are meaningful for a mid-tier miner but modest in absolute dollar terms. Employee Retention (1/2): Glassdoor rating of 3.8/5 with 79% recommendation rate; employees describe C-Suite as 'kind, inclusive and open-minded' under CEO Paul Tomory (appointed May 2023) [4]. The recent COO departure (David Hendriks) and replacement with interim COO Mike Sylvestre (45+ years mining experience) introduces some leadership transition risk. Insider Buying (0/2): Net insider selling in recent periods — insiders sold more than they bought, with the EVP of People selling CA$300K in shares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Centerra's financial profile is exceptionally strong across all Growth stock metrics. D/E of just 2% creates a fortress balance sheet with substantial cash reserves [6]. ROE of 33.7% more than doubles the 15% target. Profit margin of 40.3% is twice the 20% target, reflecting gold's high-margin economics at current prices [6]. Forward P/E of 8.3x is deeply discounted versus the 20x threshold. Revenue growth of 15% YoY (TTM) and 13% 5-year CAGR both exceed the 10% target [6]. PEG ratio excluded (unavailable). Infrastructure calculated mechanically with all available metrics scoring 1.0: weighted sum 8.0/max 8.0 = 10. Liquidity floor cleared: ~2.3M avg volume x $17.65 = $40.6M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Centerra demonstrates mixed infinite game qualities — the self-funded growth strategy, long-term project pipeline (Kemess), and enhanced sustainability commitments show patient capital allocation. However, the company's turnaround from the Kumtor asset seizure and recent COO departure suggest a business still establishing stable long-term leadership rather than one with decades of validated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Centerra's purpose centers on responsible resource extraction and community partnership, evidenced by $3.1M in community investments, $191M in local procurement, and 100,000+ hours of safety training [3]. However, this is more a license-to-operate standard than a transformative just cause — the company has not articulated a vision that inspires beyond the mining industry's baseline expectations.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indicate a positive culture under CEO Paul Tomory (25+ years mining experience, appointed May 2023), with 79% recommending the company and employees praising inclusive leadership [4]. The IDEA strategy and flexible work policies signal organizational investment. However, the COO departure in March 2026 and interim replacement introduces transition risk, and the relatively new CEO tenure means the culture is still being established.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Centerra operates in an industry where peer benchmarking is standard practice — the company explicitly references peer cost metrics, production benchmarks, and Responsible Gold Mining Principles (RGMPs) as frameworks for self-improvement [3]. The Kemess PEA publication and sustainability certifications reflect a mindset of raising its own bar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Centerra demonstrated genuine existential flexibility by successfully pivoting from dependence on the Kumtor mine (seized by Kyrgyzstan in 2021) to rebuild its business around Mount Milligan, Oksut, and new development projects [1]. The diversification from pure gold into copper (now an AI-driven demand story) and molybdenum operations shows strategic adaptation. The 58% reserve growth to 5.5M ounces in 2025 validates the pivot's success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self-funded growth strategy — maintaining a fortress balance sheet while funding Kemess development without dilutive equity raises — demonstrates disciplined long-term capital allocation [1]. The company's enhanced sustainability commitments and increased Indigenous procurement (43% increase to $191M) show leadership beyond regulatory minimums [3]. However, these decisions largely align with industry best practices rather than representing contrarian or sacrificial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Centerra Gold is a mid-tier gold-copper miner delivering exceptional financial results — Q1 2026 revenue surged 61.8% to $484.7M with net earnings up 160% YoY, driven by gold prices near all-time highs and strong copper demand from AI infrastructure buildout [1]. At 5.5x trailing P/E and 8.3x forward P/E with a near-zero-debt balance sheet (D/E 2%), 40% profit margins, and 34% ROE, the stock trades at a significant discount to peers despite superior margins and growth [6]. The Kemess project ($1.1B NPV, 16% IRR) provides a transformative self-funded growth catalyst, and the 58% increase in proven and probable reserves to 5.5M ounces demonstrates operational excellence [2].</w:t>
      </w:r>
    </w:p>
    <w:p>
      <w:pPr>
        <w:spacing w:after="120"/>
      </w:pPr>
      <w:r>
        <w:rPr>
          <w:rFonts w:ascii="Calibri" w:hAnsi="Calibri"/>
          <w:b w:val="0"/>
          <w:color w:val="3A4A28"/>
          <w:sz w:val="20"/>
        </w:rPr>
        <w:t>The bear case centers on commodity price dependence and operational concentration. Gold and copper prices are cyclical — a meaningful pullback from current highs would compress margins and free cash flow despite the strong balance sheet. Centerra's Oksut mine in Turkiye carries geopolitical risk, and the company bears reputational scars from the Kumtor seizure. The Kemess project requires significant development capital over several years with permitting, construction, and cost overrun risks typical of large greenfield mining projects. The recent COO departure introduces leadership transition risk at the operational level. Net insider selling signals that management may view current valuations as stretched [5]. Additionally, Centerra's 1.17% dividend yield is too low to provide meaningful downside protection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and copper price strength — elevated commodity prices provide significant margin tailwinds, with AI data center buildout driving sustained copper demand that benefits Mount Milligan [1]</w:t>
      </w:r>
    </w:p>
    <w:p>
      <w:pPr>
        <w:spacing w:before="40" w:after="40"/>
        <w:ind w:left="283"/>
      </w:pPr>
      <w:r>
        <w:rPr>
          <w:rFonts w:ascii="Calibri" w:hAnsi="Calibri"/>
          <w:b/>
          <w:color w:val="4A6B25"/>
          <w:sz w:val="20"/>
        </w:rPr>
        <w:t xml:space="preserve">2. </w:t>
      </w:r>
      <w:r>
        <w:rPr>
          <w:rFonts w:ascii="Calibri" w:hAnsi="Calibri"/>
          <w:b w:val="0"/>
          <w:color w:val="3A4A28"/>
          <w:sz w:val="20"/>
        </w:rPr>
        <w:t>Kemess project development — $1.1B NPV and 16% IRR provide a transformative growth asset that could significantly expand Centerra's production profile over 3-5 years, funded without dilution [1]</w:t>
      </w:r>
    </w:p>
    <w:p>
      <w:pPr>
        <w:spacing w:before="40" w:after="40"/>
        <w:ind w:left="283"/>
      </w:pPr>
      <w:r>
        <w:rPr>
          <w:rFonts w:ascii="Calibri" w:hAnsi="Calibri"/>
          <w:b/>
          <w:color w:val="4A6B25"/>
          <w:sz w:val="20"/>
        </w:rPr>
        <w:t xml:space="preserve">3. </w:t>
      </w:r>
      <w:r>
        <w:rPr>
          <w:rFonts w:ascii="Calibri" w:hAnsi="Calibri"/>
          <w:b w:val="0"/>
          <w:color w:val="3A4A28"/>
          <w:sz w:val="20"/>
        </w:rPr>
        <w:t>Reserve growth momentum — 58% increase in proven and probable gold reserves to 5.5M ounces in 2025 extends mine life and demonstrates exploration success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cyclicality — a correction in gold or copper prices from current highs would compress margins on a business with 100% commodity exposure [6]</w:t>
      </w:r>
    </w:p>
    <w:p>
      <w:pPr>
        <w:spacing w:before="40" w:after="40"/>
        <w:ind w:left="283"/>
      </w:pPr>
      <w:r>
        <w:rPr>
          <w:rFonts w:ascii="Calibri" w:hAnsi="Calibri"/>
          <w:b/>
          <w:color w:val="4A6B25"/>
          <w:sz w:val="20"/>
        </w:rPr>
        <w:t xml:space="preserve">2. </w:t>
      </w:r>
      <w:r>
        <w:rPr>
          <w:rFonts w:ascii="Calibri" w:hAnsi="Calibri"/>
          <w:b w:val="0"/>
          <w:color w:val="3A4A28"/>
          <w:sz w:val="20"/>
        </w:rPr>
        <w:t>Geopolitical risk at Oksut (Turkiye) and reputational Kumtor overhang — operational disruption from political instability or regulatory changes in foreign jurisdictions</w:t>
      </w:r>
    </w:p>
    <w:p>
      <w:pPr>
        <w:spacing w:before="40" w:after="40"/>
        <w:ind w:left="283"/>
      </w:pPr>
      <w:r>
        <w:rPr>
          <w:rFonts w:ascii="Calibri" w:hAnsi="Calibri"/>
          <w:b/>
          <w:color w:val="4A6B25"/>
          <w:sz w:val="20"/>
        </w:rPr>
        <w:t xml:space="preserve">3. </w:t>
      </w:r>
      <w:r>
        <w:rPr>
          <w:rFonts w:ascii="Calibri" w:hAnsi="Calibri"/>
          <w:b w:val="0"/>
          <w:color w:val="3A4A28"/>
          <w:sz w:val="20"/>
        </w:rPr>
        <w:t>Kemess execution risk — multi-year development requiring significant capital with permitting, construction, and cost overrun risks; COO departure adds operational leadership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copper mining is a physical-world operation that AI structurally cannot displace — extracting minerals requires heavy equipment, geological expertise, and physical infrastructure that no software can substitute [4]. The AI boom is a direct demand driver for copper (data centers, power infrastructure, semiconductor manufacturing), making Centerra a net beneficiary of AI expansion through its Mount Milligan gold-copper mine. Gold itself is an uncorrelated asset class immune to technological disruption. No analysts identify substitution risk for mining operations. AI Opportunity (1/1): While Centerra does not generate direct AI revenue, the company benefits materially from AI-driven copper demand — copper prices remain elevated partly due to data center buildout, directly boosting Mount Milligan economics and making the Kemess copper-gold project more attractive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Centerra Gold Q4/FY2025 Earnings Release — $1.38B revenue, $584M net income, Kemess PEA ($1.1B NPV), February 2026</w:t>
      </w:r>
    </w:p>
    <w:p>
      <w:pPr>
        <w:spacing w:before="20" w:after="20"/>
        <w:ind w:left="170"/>
      </w:pPr>
      <w:r>
        <w:rPr>
          <w:rFonts w:ascii="Calibri" w:hAnsi="Calibri"/>
          <w:b/>
          <w:color w:val="4A6B25"/>
          <w:sz w:val="15"/>
        </w:rPr>
        <w:t xml:space="preserve">2. </w:t>
      </w:r>
      <w:r>
        <w:rPr>
          <w:rFonts w:ascii="Calibri" w:hAnsi="Calibri"/>
          <w:b w:val="0"/>
          <w:color w:val="3A4A28"/>
          <w:sz w:val="17"/>
        </w:rPr>
        <w:t>Centerra Gold Q1 2026 Earnings Release — $484.7M revenue (+61.8%), $79.4M net earnings (+160%), reserve growth 58% to 5.5M oz, April 2026</w:t>
      </w:r>
    </w:p>
    <w:p>
      <w:pPr>
        <w:spacing w:before="20" w:after="20"/>
        <w:ind w:left="170"/>
      </w:pPr>
      <w:r>
        <w:rPr>
          <w:rFonts w:ascii="Calibri" w:hAnsi="Calibri"/>
          <w:b/>
          <w:color w:val="4A6B25"/>
          <w:sz w:val="15"/>
        </w:rPr>
        <w:t xml:space="preserve">3. </w:t>
      </w:r>
      <w:r>
        <w:rPr>
          <w:rFonts w:ascii="Calibri" w:hAnsi="Calibri"/>
          <w:b w:val="0"/>
          <w:color w:val="3A4A28"/>
          <w:sz w:val="17"/>
        </w:rPr>
        <w:t>Centerra Gold 2025 Sustainability Report — $3.1M community investment, $191M local procurement (+43%), 100,000+ safety training hours, May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Centerra Gold employee reviews, 3.8/5 rating, 79% recommend, CEO Paul Tomory commentary,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Insider trading activity — net insider selling, EVP People sold CA$300K shares,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GuruFocus — CGAU key statistics, P/E, ROE, profit margin, 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