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CGNX</w:t>
      </w:r>
      <w:r>
        <w:rPr>
          <w:rFonts w:ascii="Calibri" w:hAnsi="Calibri"/>
          <w:b/>
          <w:color w:val="1A2010"/>
          <w:sz w:val="40"/>
        </w:rPr>
        <w:t xml:space="preserve">  Cognex Corporation</w:t>
      </w:r>
    </w:p>
    <w:p>
      <w:pPr>
        <w:spacing w:after="120"/>
      </w:pPr>
      <w:r>
        <w:rPr>
          <w:rFonts w:ascii="Calibri" w:hAnsi="Calibri"/>
          <w:b/>
          <w:color w:val="6E8450"/>
          <w:sz w:val="18"/>
        </w:rPr>
        <w:t>GROWTH SLEEVE · 2026-07-16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Cognex Corporation designs, develops, manufactures, and markets machine vision products used to automate manufacturing and distribution tasks worldwide. Its AI-powered products capture and analyze visual information to locate, identify, inspect, and measure discrete items in industries including automotive, logistics, consumer electronics, and semiconductor manufacturing. Q1 2026 revenue surged 24% YoY to $268M with adjusted EBITDA margin reaching 26.9%.</w:t>
      </w:r>
    </w:p>
    <w:p>
      <w:r>
        <w:rPr>
          <w:rFonts w:ascii="Calibri" w:hAnsi="Calibri"/>
          <w:b/>
          <w:color w:val="6E8450"/>
          <w:sz w:val="18"/>
        </w:rPr>
        <w:t>2,745 Employees · https://www.cognex.com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Cognex launched its OneVision cloud-based platform in 2025, enabling non-experts to upload images and auto-train AI models deployed to factory cameras — a transformative shift from on-premise to cloud-based machine vision [1]. The In-Sight 8900, In-Sight 6900, DataMan 290, and SLX product lines represent meaningful refreshes, with Q1 2026 revenue growing 24% YoY driven by broad-based strength across major end markets [2]. AI Deployment (2/2): AI is core to Cognex's product strategy — the OneVision platform uses cloud AI for model training and deployment, deep learning tools are embedded across VisionPro software and In-Sight vision systems, and new CEO Moschner declared an 'AI-First' mandate with three strategic priorities: become #1 AI provider for industrial machine vision, deliver best customer experience, and double served customer base in five years [3]. Market Share (2/2): Cognex is the global leader in industrial machine vision with a competitive landscape described as 'stable' — the same primary competitors (Keyence in Japan, Chinese players) for over a decade, with AI-focused entrants unable to materially change the landscape [3]. Product Pipeline (1/2): Management targets doubling served customer base over five years, with EBITDA margin targets of 25-31% — Q1 2026 already hit 26.9%, ahead of schedule [2]. Q2 2026 guidance of $280M-$300M revenue implies continued double-digit growth. R&amp;D Intensity (1/1): Heavy R&amp;D investment in AI and deep learning for machine vision under VP Vision Engineering Reto Wyss, with dedicated AI integration across the product portfolio well above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Cognex's stated purpose centers on 'helping manufacturers improve quality and efficiency through machine vision automation' — clear and specific to their business, consistently pursued since the 1981 founding, but not deeply aspirational beyond the obvious [4]. Community Impact (1/2): Cognex operates the Cognex Foundation focused on STEM education and community support, and the company's ESG overview emphasizes innovation as cultural foundation with shared responsibility. Specific dollar amounts or distinctive community programs are not prominently documented. Employee Retention (2/2): New CEO Moschner assembled his entire leadership team from Cognex's internal talent bench — all new roles filled from within, demonstrating exceptional organizational depth and employee development [3]. Sheila DiPalma was appointed Chief Culture Officer, a dedicated C-suite role for employee culture signaling leadership investment in retention. Insider Buying (1/2): The $500M share repurchase authorization signals management confidence, though direct insider buying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Cognex maintains a fortress balance sheet with D/E of just 5% ($79M debt vs $300M cash), scoring perfectly on leverage [5]. Revenue growth has accelerated sharply — Q1 2026 up 24% YoY with Q2 guided at $280-300M — pushing TTM revenue growth to approximately 15%, exceeding the 10% target [2]. However, ROE of 7.2% remains well below the 15% target as the company recovers from the 2022-2024 cyclical trough [5]. Forward P/E of 36.9x is elevated, and trailing net profit margin of 11.3% is below the 20% target, though Q1 2026 showed dramatic improvement with operating margin reaching 22.3% and EBITDA margin hitting 26.9% [2]. PEG ratio excluded from scoring — the trailing PEG of 3.25 is misleading for a cyclical recovery company where trailing earnings significantly understate forward earnings power. Liquidity floor cleared: 2.39M avg volume x $66.49 = $158.9M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Cognex demonstrates mixed infinite game characteristics. The company has exceptional institutional continuity — promoting its entire new leadership team from internal ranks, appointing a Chief Culture Officer, and pursuing a 45-year track record in machine vision. The AI-First strategy under CEO Moschner represents genuine long-term vision. However, the recent margin-focused restructuring and product line exits suggest near-term optimization pressure alongside the authentic long-term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Cognex's cause — automating manufacturing through machine vision to improve quality and efficiency — has been consistently pursued since its 1981 founding, a 45-year track record in a single domain [4]. The AI-First mandate under CEO Moschner extends this cause into cloud AI and deep learning while maintaining the core purpose. The goal to double the served customer base demonstrates expansive thinking beyond defending existing share. However, the cause lacks the broader humanitarian dimension of top-tier infinite players.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promotion of the entire new leadership team from Cognex's internal talent bench — including CEO Moschner from COO — demonstrates extraordinary organizational depth and trust in internal development [3]. The creation of a dedicated Chief Culture Officer role (Sheila DiPalma) signals leadership investment in employee experience. Seven consecutive quarters of margin improvement suggest operational discipline without destructive restructuring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Cognex acknowledges Keyence (Japan) and Chinese competitors while focusing its competitive strategy on improving its own AI capabilities and customer experience rather than attacking rivals [3]. CEO Moschner's framing of market expansion — doubling the served customer base — focuses on growing the addressable market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purely on-premise hardware-based vision systems to the OneVision cloud AI platform represents meaningful strategic evolution — moving from selling cameras to selling AI-as-a-service for manufacturing [3]. Q1 2026 results validate this shift with 26.9% EBITDA margins. This is a significant but incremental shift rather than a full business model transformation, as the core machine vision domain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Cognex has not demonstrated clear examples of courageous leadership sacrifice. The margin-focused restructuring — exiting low-margin product lines — is prudent operational management rather than a bold strategic bet [1]. The AI-First strategy aligns with industry trends rather than representing a contrarian position. The company navigated the 2022-2024 cyclical downturn without major restructuring, which shows resilience but not transformative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Cognex is the global leader in industrial machine vision, now in full growth acceleration mode — Q1 2026 revenue surged 24% YoY to $268M with adjusted EPS up 113% and EBITDA margin reaching 26.9%, marking seven consecutive quarters of margin improvement [2]. CEO Moschner's AI-First strategy positions Cognex at the intersection of manufacturing automation and AI, with the OneVision cloud platform transforming the business from hardware sales to AI-as-a-service [3]. The fortress balance sheet (D/E 5%, $300M cash) provides flexibility for R&amp;D investment and the $500M buyback authorization. Q2 2026 guidance of $280-$300M revenue with $0.40-$0.44 adjusted EPS implies continued double-digit growth acceleration [2].</w:t>
      </w:r>
    </w:p>
    <w:p>
      <w:pPr>
        <w:spacing w:after="120"/>
      </w:pPr>
      <w:r>
        <w:rPr>
          <w:rFonts w:ascii="Calibri" w:hAnsi="Calibri"/>
          <w:b w:val="0"/>
          <w:color w:val="3A4A28"/>
          <w:sz w:val="20"/>
        </w:rPr>
        <w:t>The bear case centers on valuation and cyclical risk. At 37x forward earnings and 59x trailing earnings, Cognex is pricing in sustained margin expansion and growth acceleration that remains early-stage [5]. ROE of 7.2% is well below cost of capital, and the 5yr revenue CAGR of only 4.2% reflects significant cyclicality — revenue peaked at $1.006B in 2022, fell 17% to $838M in 2023, and has only recovered to approximately $1.05B TTM [5]. The semiconductor and automotive end markets remain cyclically sensitive, and tariff escalation could disrupt global manufacturing investment that drives Cognex's order book. Cloud-based AI vision tools from hyperscalers pose a long-tail disruption risk to Cognex's proprietary edge models. The new leadership team, while internally promoted, is untested in sustaining the ambitious AI-First transformation and margin targets simultaneously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already hitting 26.9% in Q1 2026, ahead of the 25-31% target, with seven consecutive quarters of improvement demonstrating operational momentum [2]</w:t>
      </w:r>
    </w:p>
    <w:p>
      <w:pPr>
        <w:spacing w:before="40" w:after="40"/>
        <w:ind w:left="283"/>
      </w:pPr>
      <w:r>
        <w:rPr>
          <w:rFonts w:ascii="Calibri" w:hAnsi="Calibri"/>
          <w:b/>
          <w:color w:val="4A6B25"/>
          <w:sz w:val="20"/>
        </w:rPr>
        <w:t xml:space="preserve">2. </w:t>
      </w:r>
      <w:r>
        <w:rPr>
          <w:rFonts w:ascii="Calibri" w:hAnsi="Calibri"/>
          <w:b w:val="0"/>
          <w:color w:val="3A4A28"/>
          <w:sz w:val="20"/>
        </w:rPr>
        <w:t>OneVision cloud AI platform adoption accelerating the shift to recurring revenue and enabling non-expert customers to deploy machine vision, expanding the addressable market [3]</w:t>
      </w:r>
    </w:p>
    <w:p>
      <w:pPr>
        <w:spacing w:before="40" w:after="40"/>
        <w:ind w:left="283"/>
      </w:pPr>
      <w:r>
        <w:rPr>
          <w:rFonts w:ascii="Calibri" w:hAnsi="Calibri"/>
          <w:b/>
          <w:color w:val="4A6B25"/>
          <w:sz w:val="20"/>
        </w:rPr>
        <w:t xml:space="preserve">3. </w:t>
      </w:r>
      <w:r>
        <w:rPr>
          <w:rFonts w:ascii="Calibri" w:hAnsi="Calibri"/>
          <w:b w:val="0"/>
          <w:color w:val="3A4A28"/>
          <w:sz w:val="20"/>
        </w:rPr>
        <w:t>Q2 2026 guidance of $280-$300M revenue implies continued 20%+ growth, with manufacturing capex recovery and AI-driven automation demand across automotive, semiconductor, and logistics end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59x trailing and 37x forward earnings requires continued flawless execution on margin targets and growth acceleration to avoid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Cyclical revenue vulnerability — revenue fell 17% from 2022 peak to 2023 trough, and global manufacturing capex remains sensitive to tariffs and trade disruption [5]</w:t>
      </w:r>
    </w:p>
    <w:p>
      <w:pPr>
        <w:spacing w:before="40" w:after="40"/>
        <w:ind w:left="283"/>
      </w:pPr>
      <w:r>
        <w:rPr>
          <w:rFonts w:ascii="Calibri" w:hAnsi="Calibri"/>
          <w:b/>
          <w:color w:val="4A6B25"/>
          <w:sz w:val="20"/>
        </w:rPr>
        <w:t xml:space="preserve">3. </w:t>
      </w:r>
      <w:r>
        <w:rPr>
          <w:rFonts w:ascii="Calibri" w:hAnsi="Calibri"/>
          <w:b w:val="0"/>
          <w:color w:val="3A4A28"/>
          <w:sz w:val="20"/>
        </w:rPr>
        <w:t>Cloud AI competition — hyperscaler vision APIs from AWS, Google, and Azure could erode Cognex's traditional on-premise moat in lower-complexity machine vision applications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Cognex occupies a unique position — AI is both its core product and potential disruption vector. The company's machine vision products are deeply embedded in manufacturing and logistics workflows with high switching costs, proprietary calibration data, and integration complexity that protects against easy substitution [3]. However, cloud-based AI vision tools from hyperscalers (AWS, Google, Azure) represent a long-tail risk to Cognex's traditional on-premise model, which management is proactively addressing through the OneVision cloud platform [3]. The competitive landscape has remained 'stable' for over a decade despite AI-focused entrants, suggesting strong defensibility. AI Opportunity (1/1): AI is Cognex's core business — the OneVision platform, deep learning-enabled VisionPro tools, In-Sight 6900/8900 systems, and AI-trained vision models generate direct revenue from AI products shipped to manufacturing customers worldwide [3]. CEO Moschner's keynote at Automate 2026 underscores Cognex's positioning as an AI leader in industrial automation.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Cognex Q4 CY2025 Earnings Release — $252.3M revenue (10% YoY growth), full-year revenue $994M (9% growth), adjusted EPS $1.02 (38%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Cognex Q1 CY2026 Earnings Release — $268M revenue (24% YoY), adjusted EPS $0.34 (113% growth), EBITDA margin 26.9%, Q2 guide $280-300M, May 2026</w:t>
      </w:r>
    </w:p>
    <w:p>
      <w:pPr>
        <w:spacing w:before="20" w:after="20"/>
        <w:ind w:left="170"/>
      </w:pPr>
      <w:r>
        <w:rPr>
          <w:rFonts w:ascii="Calibri" w:hAnsi="Calibri"/>
          <w:b/>
          <w:color w:val="4A6B25"/>
          <w:sz w:val="15"/>
        </w:rPr>
        <w:t xml:space="preserve">3. </w:t>
      </w:r>
      <w:r>
        <w:rPr>
          <w:rFonts w:ascii="Calibri" w:hAnsi="Calibri"/>
          <w:b w:val="0"/>
          <w:color w:val="3A4A28"/>
          <w:sz w:val="17"/>
        </w:rPr>
        <w:t>Cognex New Leadership Team Announcement — CEO Moschner, AI-First strategy, OneVision platform, Chief Culture Officer, market expansion targets, July 2025; Automate 2026 keynote</w:t>
      </w:r>
    </w:p>
    <w:p>
      <w:pPr>
        <w:spacing w:before="20" w:after="20"/>
        <w:ind w:left="170"/>
      </w:pPr>
      <w:r>
        <w:rPr>
          <w:rFonts w:ascii="Calibri" w:hAnsi="Calibri"/>
          <w:b/>
          <w:color w:val="4A6B25"/>
          <w:sz w:val="15"/>
        </w:rPr>
        <w:t xml:space="preserve">4. </w:t>
      </w:r>
      <w:r>
        <w:rPr>
          <w:rFonts w:ascii="Calibri" w:hAnsi="Calibri"/>
          <w:b w:val="0"/>
          <w:color w:val="3A4A28"/>
          <w:sz w:val="17"/>
        </w:rPr>
        <w:t>Cognex corporate website — mission, products, machine vision technology overview, cognex.com</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GuruFocus — CGNX key statistics, P/E, ROE, D/E, profit margin,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