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CLM</w:t>
      </w:r>
      <w:r>
        <w:rPr>
          <w:rFonts w:ascii="Calibri" w:hAnsi="Calibri"/>
          <w:b/>
          <w:color w:val="1A2010"/>
          <w:sz w:val="40"/>
        </w:rPr>
        <w:t xml:space="preserve">  Cornerstone Strategic Investment Fund, Inc.</w:t>
      </w:r>
    </w:p>
    <w:p>
      <w:pPr>
        <w:spacing w:after="120"/>
      </w:pPr>
      <w:r>
        <w:rPr>
          <w:rFonts w:ascii="Calibri" w:hAnsi="Calibri"/>
          <w:b/>
          <w:color w:val="6E8450"/>
          <w:sz w:val="18"/>
        </w:rPr>
        <w:t>DIVIDEND SLEEVE · 2026-07-13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Asset Management · NYSE American · United States</w:t>
      </w:r>
    </w:p>
    <w:p>
      <w:pPr>
        <w:spacing w:after="80"/>
      </w:pPr>
      <w:r>
        <w:rPr>
          <w:rFonts w:ascii="Calibri" w:hAnsi="Calibri"/>
          <w:b w:val="0"/>
          <w:color w:val="3A4A28"/>
          <w:sz w:val="20"/>
        </w:rPr>
        <w:t>Cornerstone Strategic Investment Fund (formerly Cornerstone Strategic Value Fund) is a diversified closed-end equity mutual fund managed by Cornerstone Advisors, LLC. Incorporated in Maryland in 1987, the fund invests in global public equities using a balanced value/growth approach and operates a 21% managed distribution policy that returns NAV to shareholders monthly. Market cap $1.91B with 249.76M shares outstanding.</w:t>
      </w:r>
    </w:p>
    <w:p>
      <w:r>
        <w:rPr>
          <w:rFonts w:ascii="Calibri" w:hAnsi="Calibri"/>
          <w:b/>
          <w:color w:val="6E8450"/>
          <w:sz w:val="18"/>
        </w:rPr>
        <w:t>https://cornerstonestrategicinvestmentfund.com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A 1987-vintage closed-end equity fund operating the same managed distribution strategy for nearly four decades — no product launches, business pivots, or new revenue streams [1][2]. The November 2024 name change to 'Cornerstone Strategic Investment Fund' was cosmetic, not substantive. AI Deployment (0/2): No AI products, no AI-driven analytics offerings to shareholders, and no public discussion of AI integration in portfolio management processes [2]. Market Share (1/2): CLM is a recognizable name within the equity closed-end fund category with $1.91B market cap, but operates in a shrinking niche as ETFs and direct indexing commoditize the space; the fund's moat is its 21% distribution policy rather than investment performance [1]. Pipeline (0/2): No product pipeline — the structure is a static investment vehicle with no capacity for new offerings [2]. R&amp;D Intensity (0/1): Not applicable for a closed-end fund.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Cornerstone's stated purpose is generic — provide capital appreciation and current income to shareholders through a managed distribution policy [2]. There is no distinctive purpose beyond delivering monthly cash distributions. The fund exists to generate AUM-based advisory fees for Cornerstone Advisors. Community Impact (0/2): No charitable foundation, community programs, or measurable social impact disclosed by the fund or its adviser [2]. Employee Retention (0/2): The fund itself has zero employees; Cornerstone Advisors is a small RIA managed by the Bradshaw family (Nicholas Birk, Joshua Bradshaw, Daniel Bradshaw, Ralph Bradshaw) with no public retention data [2]. Insider Buying (0/2): No meaningful insider buying disclosed; the adviser earns fees regardless of NAV trajectory, weakening alignment with shareholders.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Dividend stock on available metrics; many corporate metrics are inapplicable or misleading for a closed-end fund [1][3]. Investment income (revenue proxy) grew 6.8% YoY to $26.14M, but total distributions of ~$365M annually dwarf this income — payout ratio based on NII exceeds 1,300%, meaning the vast majority of distributions are return-of-capital [1][3]. Net income of $312.82M includes unrealized portfolio gains, producing a misleading PE of 7.21 and EPS of $1.06. The 39-year consecutive payment history (since 1987 inception) scores perfectly and is the primary positive contributor to the infrastructure score. However, consecutive years of distribution growth is zero (amounts reset annually based on 21% of NAV), and 5yr distribution growth CAGR is negative as NAV erosion reduces per-share payouts. Liquidity passes: 1.33M avg daily volume x $7.63 = $10.2M daily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CLM exists primarily to harvest advisory fees on an asset base that is steadily eroded by a 21% distribution policy. The structure rewards the adviser for AUM persistence, not for advancing any cause beyond monthly cash payouts to shareholders. The fund has operated the same strategy for nearly four decades without meaningful adaptation, even as ETFs and direct indexing have fundamentally transformed the investment landscape around it.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The fund's purpose — deliver monthly cash distributions to income-seeking shareholders — is a financial mechanic rather than a vision of a better future [2]. There is no articulated cause beyond investor convenience. The 21% distribution rate, which exceeds any sustainable equity return, prioritizes near-term income over long-term capital preservation.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Cornerstone Advisors has maintained leadership continuity for decades under the Bradshaw family, with portfolio managers Nicholas Birk, Joshua Bradshaw, Daniel Bradshaw, and Ralph Bradshaw providing stable management [2]. As a small RIA with no public employee data, there is no evidence of exceptional trust or distrust — adequate stability for the fund's simple mandate.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management commentary acknowledging worthy rivals (Vanguard ETFs, peer CEFs, direct indexing platforms) or learning from them [2]. The fund's competitive positioning is entirely about its distribution rate, not self-improvement against evolving market alternatives.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Rigid. The fund has operated the same managed-distribution strategy since the 1990s without meaningful structural reinvention [1][2]. The November 2024 name change was cosmetic. As ETFs and direct indexing have fundamentally reshaped the investment landscape, CLM has not adapted its structure, fee model, or distribution approach in any substantive way.</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The 21% distribution rate persists despite structural return-of-capital concerns and historical NAV erosion — management has not chosen the harder path of cutting the distribution to a sustainable level [1][3]. The fund routinely conducts dilutive rights offerings to replenish capital consumed by unsustainable distributions, prioritizing AUM-based fee generation over long-term shareholder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CLM offers a headline 19.1% distribution yield with monthly payments of $0.1215/share, providing predictable cash flow for income-focused investors who understand the mechanics [1][3]. The fund holds a diversified global equity portfolio managed by Cornerstone Advisors since 1987, providing 39 years of consecutive distributions and reasonable secondary market liquidity ($10.2M daily). Q3 2026 distributions have been reset at the 21% of NAV rate, and 2025 investment income grew 6.8% YoY to $26.14M. At $7.63 with a PE of 7.21 (based on $1.06 EPS including unrealized gains), the fund trades at a modest premium to estimated NAV.</w:t>
      </w:r>
    </w:p>
    <w:p>
      <w:pPr>
        <w:spacing w:after="120"/>
      </w:pPr>
      <w:r>
        <w:rPr>
          <w:rFonts w:ascii="Calibri" w:hAnsi="Calibri"/>
          <w:b w:val="0"/>
          <w:color w:val="3A4A28"/>
          <w:sz w:val="20"/>
        </w:rPr>
        <w:t>The bear case is fundamental to the structure: the 21% distribution rate vastly exceeds any reasonable equity total return, so the majority of monthly distributions constitute return-of-capital — investors are receiving their own principal back while NAV steadily erodes [1][3]. Since inception, cumulative distributions of $131.54 per share against an IPO NAV of $29.84 illustrate the capital destruction dynamic. The fund routinely conducts dilutive rights offerings to replenish capital consumed by unsustainable distributions, further pressuring per-share NAV. The advisory fee structure rewards Cornerstone for AUM maintenance regardless of investment performance, creating a misalignment with shareholders' total return interests. AI-driven robo-advisors and the secular shift to low-cost ETFs continue to commoditize the high-yield-equity wrapper that CLM occupies [2]. For total-return-focused investors, CLM is a poor vehicle relative to direct equity indexing.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2026 distribution rate maintained at 21% of NAV with monthly $0.1215 payments providing predictable cash flow for income-seeking shareholders through September 2026 [1]</w:t>
      </w:r>
    </w:p>
    <w:p>
      <w:pPr>
        <w:spacing w:before="40" w:after="40"/>
        <w:ind w:left="283"/>
      </w:pPr>
      <w:r>
        <w:rPr>
          <w:rFonts w:ascii="Calibri" w:hAnsi="Calibri"/>
          <w:b/>
          <w:color w:val="4A6B25"/>
          <w:sz w:val="20"/>
        </w:rPr>
        <w:t xml:space="preserve">2. </w:t>
      </w:r>
      <w:r>
        <w:rPr>
          <w:rFonts w:ascii="Calibri" w:hAnsi="Calibri"/>
          <w:b w:val="0"/>
          <w:color w:val="3A4A28"/>
          <w:sz w:val="20"/>
        </w:rPr>
        <w:t>Sustained equity market rally lifting NAV and reducing the return-of-capital component of distributions, improving the tax efficiency of monthly payments [3]</w:t>
      </w:r>
    </w:p>
    <w:p>
      <w:pPr>
        <w:spacing w:before="40" w:after="40"/>
        <w:ind w:left="283"/>
      </w:pPr>
      <w:r>
        <w:rPr>
          <w:rFonts w:ascii="Calibri" w:hAnsi="Calibri"/>
          <w:b/>
          <w:color w:val="4A6B25"/>
          <w:sz w:val="20"/>
        </w:rPr>
        <w:t xml:space="preserve">3. </w:t>
      </w:r>
      <w:r>
        <w:rPr>
          <w:rFonts w:ascii="Calibri" w:hAnsi="Calibri"/>
          <w:b w:val="0"/>
          <w:color w:val="3A4A28"/>
          <w:sz w:val="20"/>
        </w:rPr>
        <w:t>Premium-to-NAV expansion in income-starved environments could deliver short-term capital appreciation independent of underlying portfolio returns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Return-of-capital distributions structurally erode NAV — cumulative distributions of $131.54/share against IPO NAV of $29.84 demonstrate the long-term capital destruction dynamic [1][3]</w:t>
      </w:r>
    </w:p>
    <w:p>
      <w:pPr>
        <w:spacing w:before="40" w:after="40"/>
        <w:ind w:left="283"/>
      </w:pPr>
      <w:r>
        <w:rPr>
          <w:rFonts w:ascii="Calibri" w:hAnsi="Calibri"/>
          <w:b/>
          <w:color w:val="4A6B25"/>
          <w:sz w:val="20"/>
        </w:rPr>
        <w:t xml:space="preserve">2. </w:t>
      </w:r>
      <w:r>
        <w:rPr>
          <w:rFonts w:ascii="Calibri" w:hAnsi="Calibri"/>
          <w:b w:val="0"/>
          <w:color w:val="3A4A28"/>
          <w:sz w:val="20"/>
        </w:rPr>
        <w:t>Dilutive rights offerings routinely conducted to replenish capital consumed by the unsustainable 21% distribution rate, further compressing per-share NAV and shareholder value</w:t>
      </w:r>
    </w:p>
    <w:p>
      <w:pPr>
        <w:spacing w:before="40" w:after="40"/>
        <w:ind w:left="283"/>
      </w:pPr>
      <w:r>
        <w:rPr>
          <w:rFonts w:ascii="Calibri" w:hAnsi="Calibri"/>
          <w:b/>
          <w:color w:val="4A6B25"/>
          <w:sz w:val="20"/>
        </w:rPr>
        <w:t xml:space="preserve">3. </w:t>
      </w:r>
      <w:r>
        <w:rPr>
          <w:rFonts w:ascii="Calibri" w:hAnsi="Calibri"/>
          <w:b w:val="0"/>
          <w:color w:val="3A4A28"/>
          <w:sz w:val="20"/>
        </w:rPr>
        <w:t>Secular shift to low-cost ETFs and direct indexing continues to commoditize the closed-end equity fund category, pressuring premiums and reducing investor demand for high-fee CEF wrappers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As a passive investment vehicle holding a diversified global equity portfolio, CLM itself is not directly disrupted by AI — the underlying holdings carry their own AI risk, but the fund wrapper is structurally insulated from substitution [2]. The closed-end fund structure with its regulated board, 1940 Act compliance, and managed distribution mechanics cannot be directly replicated by AI. However, AI-driven robo-advisors and low-cost ETFs continue to commoditize the asset management layer, creating indirect competitive pressure on premium CEF valuations over time. AI Opportunity (0/1): The fund does not generate AI-related revenue and has not announced AI-driven portfolio analytics or services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Cornerstone Funds 2026 Distribution Announcements — StockTitan, QuiverQuant, Yahoo Finance: $0.1215 monthly per share, 21% NAV distribution policy, July 2026</w:t>
      </w:r>
    </w:p>
    <w:p>
      <w:pPr>
        <w:spacing w:before="20" w:after="20"/>
        <w:ind w:left="170"/>
      </w:pPr>
      <w:r>
        <w:rPr>
          <w:rFonts w:ascii="Calibri" w:hAnsi="Calibri"/>
          <w:b/>
          <w:color w:val="4A6B25"/>
          <w:sz w:val="15"/>
        </w:rPr>
        <w:t xml:space="preserve">2. </w:t>
      </w:r>
      <w:r>
        <w:rPr>
          <w:rFonts w:ascii="Calibri" w:hAnsi="Calibri"/>
          <w:b w:val="0"/>
          <w:color w:val="3A4A28"/>
          <w:sz w:val="17"/>
        </w:rPr>
        <w:t>Cornerstone Strategic Investment Fund Profile — cefdata.com, StockAnalysis.com: fund history, management team (Bradshaw family), inception 1987, 249.76M shares outstanding</w:t>
      </w:r>
    </w:p>
    <w:p>
      <w:pPr>
        <w:spacing w:before="20" w:after="20"/>
        <w:ind w:left="170"/>
      </w:pPr>
      <w:r>
        <w:rPr>
          <w:rFonts w:ascii="Calibri" w:hAnsi="Calibri"/>
          <w:b/>
          <w:color w:val="4A6B25"/>
          <w:sz w:val="15"/>
        </w:rPr>
        <w:t xml:space="preserve">3. </w:t>
      </w:r>
      <w:r>
        <w:rPr>
          <w:rFonts w:ascii="Calibri" w:hAnsi="Calibri"/>
          <w:b w:val="0"/>
          <w:color w:val="3A4A28"/>
          <w:sz w:val="17"/>
        </w:rPr>
        <w:t>CLM Financial Data — StockAnalysis.com, Yahoo Finance: $7.63 price, PE 7.21, EPS $1.06, revenue $26.14M, 19.11% yield,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