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CLS</w:t>
      </w:r>
      <w:r>
        <w:rPr>
          <w:rFonts w:ascii="Calibri" w:hAnsi="Calibri"/>
          <w:b/>
          <w:color w:val="1A2010"/>
          <w:sz w:val="40"/>
        </w:rPr>
        <w:t xml:space="preserve">  Celestica Inc.</w:t>
      </w:r>
    </w:p>
    <w:p>
      <w:pPr>
        <w:spacing w:after="120"/>
      </w:pPr>
      <w:r>
        <w:rPr>
          <w:rFonts w:ascii="Calibri" w:hAnsi="Calibri"/>
          <w:b/>
          <w:color w:val="6E8450"/>
          <w:sz w:val="18"/>
        </w:rPr>
        <w:t>GROWTH SLEEVE · 2026-07-13 · Inspire: 0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78</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Technology · Electronic Components · NYSE · Canada</w:t>
      </w:r>
    </w:p>
    <w:p>
      <w:pPr>
        <w:spacing w:after="80"/>
      </w:pPr>
      <w:r>
        <w:rPr>
          <w:rFonts w:ascii="Calibri" w:hAnsi="Calibri"/>
          <w:b w:val="0"/>
          <w:color w:val="3A4A28"/>
          <w:sz w:val="20"/>
        </w:rPr>
        <w:t>Celestica is a Toronto-headquartered design, manufacturing, hardware platform and supply chain solutions provider. It operates through two segments: Connectivity &amp; Cloud Solutions (CCS), which designs and manufactures custom AI servers, networking switches, and storage hardware for hyperscalers, and Advanced Technology Solutions (ATS), serving aerospace &amp; defense, industrial, capital equipment, and HealthTech end markets. Market cap $41.5B.</w:t>
      </w:r>
    </w:p>
    <w:p>
      <w:r>
        <w:rPr>
          <w:rFonts w:ascii="Calibri" w:hAnsi="Calibri"/>
          <w:b/>
          <w:color w:val="6E8450"/>
          <w:sz w:val="18"/>
        </w:rPr>
        <w:t>28,000 Employees · https://www.celestica.com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(3/3): Q1 2026 revenue of $4.05B (up 53% YoY) with full-year guidance raised to $19.0B (+53% YoY) and $10.15 adjusted EPS (+68% YoY), confirming an extraordinary multi-year transformation from commodity EMS to AI infrastructure leader [1][2]. CCS segment grew 76% YoY in Q1 2026, driven by hyperscaler AI server and networking demand. AI Deployment (2/2): Celestica is AI infrastructure — the company designs and manufactures custom AI servers, 400G/800G networking switches, and storage hardware that enable AI compute at scale for the world's largest hyperscalers [1]. GAAP operating margin expanded to 6.7% (from 4.9%) and adjusted operating margin to 8.0% (from 7.1%) as AI hardware mix shifts higher. Market Share (1/2): Celestica is a top-3 hyperscaler ODM/EMS partner globally, competing successfully against Foxconn, Quanta, and Wistron, though not the outright market leader. The 76% CCS growth rate and analyst price target of $444 (23% upside) signal continued share gains [2]. Pipeline (2/2): $19B 2026 revenue guidance provides strong pipeline visibility; CCS leadership transition with Steven Dorwart as new President of CCS (effective July 2026) signals continued buildout of next-gen 800G/1.6T switch platforms and liquid cooling solutions [3]. R&amp;D Intensity (0/1): As an EMS/ODM, Celestica's R&amp;D intensity is structurally below pure-play OEMs, though rising with the custom hardware design mix shift.</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Celestica's purpose to 'make a meaningful difference for customers, partners and communities' through advanced manufacturing is clear but not distinctive — the statement is interchangeable with other technology manufacturing peers [4]. The mission identifies what Celestica does (enable critical infrastructure) but doesn't articulate a deeper vision of a better future. Community Impact (1/2): Celestica holds SBTi-approved 1.5C science-based emissions targets (set 2020), Responsible Business Alliance membership, and implemented 155 energy projects in 2024 avoiding 4,915 MT CO2e [4]. General corporate sustainability programs without distinctive community investment dollars cited. Employee Retention (1/2): CEO Rob Mionis has served 11+ years (since August 2015), providing exceptional leadership continuity, and the smooth CCS leadership transition to Steven Dorwart demonstrates stable succession planning [3]. No specific employee tenure or turnover data available. Insider Buying (0/2): Net insider selling of $63.2M in the last three months with no buying activity — consistent with executive diversification after the stock's 123% 52-week gain, but does not demonstrate net insider conviction [2].</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as Growth stock. D/E of 45% scores perfectly against the 70% target, and ROE of 52.45% reflects exceptional capital efficiency [1][5]. Revenue growth is extraordinary: 53% YoY with a 5yr CAGR of ~20%, both scoring 1.0. Forward PEG of 0.79 scores perfectly against the 1.0 target, reflecting reasonable valuation relative to the 68% EPS growth rate [5]. Forward P/E of 31.76 scores 0.71 (above the 20 target but well below the 60 floor). Profit margin of 6.95% scores 0.35 — structurally lower for an EMS/ODM business model but expanding. Weighted sum: 9.05/10, rounding to 9. Liquidity comfortably passes: 1.58M avg volume x $359.85 = $568M daily liquidity.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16A34A"/>
          <w:sz w:val="28"/>
        </w:rPr>
        <w:t>7</w:t>
      </w:r>
      <w:r>
        <w:rPr>
          <w:rFonts w:ascii="Calibri" w:hAnsi="Calibri"/>
          <w:b w:val="0"/>
          <w:color w:val="9DAF88"/>
          <w:sz w:val="18"/>
        </w:rPr>
        <w:t xml:space="preserve"> /10</w:t>
      </w:r>
    </w:p>
    <w:p>
      <w:pPr>
        <w:spacing w:after="120"/>
      </w:pPr>
      <w:r>
        <w:rPr>
          <w:rFonts w:ascii="Calibri" w:hAnsi="Calibri"/>
          <w:b w:val="0"/>
          <w:color w:val="3A4A28"/>
          <w:sz w:val="18"/>
        </w:rPr>
        <w:t>Celestica under CEO Rob Mionis (11+ years) has executed a patient, decade-long transformation from low-margin contract manufacturing to high-value AI infrastructure design and manufacturing — exactly the kind of multi-year reinvention an infinite-game mindset enables. The CCS segment now dominates the business and is growing 76% YoY. However, the company's mission language remains generic and the competitive framing is market-share oriented rather than purpose-driven.</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Celestica's purpose of enabling critical data center infrastructure for AI, cloud, and hybrid cloud, and advancing technologies in high-growth markets, connects the company's work to the broader AI revolution and technological progress [4]. The 11-year CEO tenure and consistent strategic direction demonstrate that this purpose shapes decisions. However, the mission statement itself is not transformative — it describes what the company does, not a vision of a future state it is building toward.</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CEO Rob Mionis's 11-year tenure and the smooth CCS leadership transition to Steven Dorwart (announced July 2026) suggest organizational stability and effective succession planning [3]. Consistent multi-quarter execution against rising guidance — beating Q1 2026 expectations with 53% revenue growth — indicates a well-functioning operating culture. No significant employee culture issues surfaced in research, but no specific trust metrics (tenure, turnover, employee sentiment) available.</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Celestica competes against formidable rivals — Foxconn, Quanta, Wistron, Jabil, and Flex — and uses competitive pressure to sharpen capabilities rather than simply pursuing market share destruction [3]. The CCS leadership appointment referenced 'understanding of the competitive landscape' and 'aligning strategic capabilities with evolving customer needs,' language consistent with learning from rivals rather than just beating them.</w:t>
      </w:r>
    </w:p>
    <w:p>
      <w:pPr>
        <w:spacing w:before="200" w:after="40"/>
      </w:pPr>
      <w:r>
        <w:rPr>
          <w:rFonts w:ascii="Calibri" w:hAnsi="Calibri"/>
          <w:b/>
          <w:color w:val="1A2010"/>
          <w:sz w:val="22"/>
        </w:rPr>
        <w:t>Existential Flexibility</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(2/2): Celestica has fundamentally reinvented itself over the past decade — transforming from a low-margin commodity EMS company into a high-value AI infrastructure designer and manufacturer [1]. CCS hardware platform solutions are now the dominant growth engine (76% YoY growth), and the company's competitive positioning, customer relationships, and margins look completely different from 2015. This transformation was not forced by desperation but driven by strategic investment in design capabilities and hyperscaler relationships ahead of the AI wave.</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The $1B+ annual capex commitment to expand AI hardware manufacturing capacity ahead of demand represents genuine courageous capital deployment [1]. Rob Mionis invested in CCS design capabilities and hyperscaler relationships years before the AI infrastructure boom materialized, betting the company's future on a shift away from traditional contract manufacturing. However, the investment was de-risked by strong customer pull from hyperscalers rather than a purely speculative bet.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Celestica is one of the cleanest pure-play hyperscaler AI infrastructure beneficiaries. Q1 2026 delivered $4.05B revenue (53% YoY growth) with GAAP EPS of $1.83 (up 147%) and adjusted EPS of $2.16 (up 80%), beating analyst expectations [1][2]. Full-year 2026 guidance was raised to $19.0B revenue (+53%) and $10.15 adjusted EPS (+68%), confirming accelerating momentum from the AI data center buildout. CCS segment revenue surged 76% YoY as hyperscalers expanded AI/ML compute infrastructure. ROE of 52.45% and D/E of just 45% demonstrate strong financial execution alongside rapid growth. At Forward PEG of 0.79, the stock offers reasonable value relative to its growth rate despite the 123% 52-week price gain to $359.85 [5]. CEO Rob Mionis's 11-year tenure and the smooth CCS leadership transition to Steven Dorwart position the company for sustained execution.</w:t>
      </w:r>
    </w:p>
    <w:p>
      <w:pPr>
        <w:spacing w:after="120"/>
      </w:pPr>
      <w:r>
        <w:rPr>
          <w:rFonts w:ascii="Calibri" w:hAnsi="Calibri"/>
          <w:b w:val="0"/>
          <w:color w:val="3A4A28"/>
          <w:sz w:val="20"/>
        </w:rPr>
        <w:t>The primary risk is AI capex cyclicality and the sustainability of 53% revenue growth rates. EMS/ODMs are leveraged plays on hyperscaler capex, and any pause in AI infrastructure spending — whether from a model-efficiency breakthrough reducing compute requirements, a Big Tech capex reset, or macroeconomic deceleration — would disproportionately impact Celestica's growth trajectory [1]. Customer concentration on a small number of hyperscalers (Meta, Google, Microsoft, Amazon) creates meaningful single-customer-loss risk. The stock has more than doubled from $175 in April to $360, pushing the trailing PE to 43.6x and Forward PE to 31.8x — premium multiples that leave limited margin of safety [5]. Net insider selling of $63.2M in three months, while common for rapidly appreciating stocks, signals that management is not deploying personal capital at current prices [2]. Profit margins of 6.95% remain structurally lower than pure-play OEMs, constraining earnings leverage relative to revenue growth.</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Full-year 2026 guidance of $19.0B revenue (+53%) and $10.15 adjusted EPS (+68%), with Q1 already exceeding expectations at $4.05B, driven by accelerating CCS hyperscaler demand [1]</w:t>
      </w:r>
    </w:p>
    <w:p>
      <w:pPr>
        <w:spacing w:before="40" w:after="40"/>
        <w:ind w:left="283"/>
      </w:pPr>
      <w:r>
        <w:rPr>
          <w:rFonts w:ascii="Calibri" w:hAnsi="Calibri"/>
          <w:b/>
          <w:color w:val="4A6B25"/>
          <w:sz w:val="20"/>
        </w:rPr>
        <w:t xml:space="preserve">2. </w:t>
      </w:r>
      <w:r>
        <w:rPr>
          <w:rFonts w:ascii="Calibri" w:hAnsi="Calibri"/>
          <w:b w:val="0"/>
          <w:color w:val="3A4A28"/>
          <w:sz w:val="20"/>
        </w:rPr>
        <w:t>CCS segment growing 76% YoY with expansion into next-gen 800G/1.6T networking platforms and liquid cooling solutions for AI data centers, supported by Steven Dorwart's appointment as CCS President [3]</w:t>
      </w:r>
    </w:p>
    <w:p>
      <w:pPr>
        <w:spacing w:before="40" w:after="40"/>
        <w:ind w:left="283"/>
      </w:pPr>
      <w:r>
        <w:rPr>
          <w:rFonts w:ascii="Calibri" w:hAnsi="Calibri"/>
          <w:b/>
          <w:color w:val="4A6B25"/>
          <w:sz w:val="20"/>
        </w:rPr>
        <w:t xml:space="preserve">3. </w:t>
      </w:r>
      <w:r>
        <w:rPr>
          <w:rFonts w:ascii="Calibri" w:hAnsi="Calibri"/>
          <w:b w:val="0"/>
          <w:color w:val="3A4A28"/>
          <w:sz w:val="20"/>
        </w:rPr>
        <w:t>Continued multi-year hyperscaler AI capex cycle extending into 2027-2028, with Celestica's custom design-and-manufacture capabilities capturing higher-value share of the AI infrastructure buildout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Hyperscaler AI capex cyclicality — any pause or slowdown in infrastructure spending from model-efficiency breakthroughs, Big Tech budget resets, or macro deceleration would hit Celestica disproportionately [1]</w:t>
      </w:r>
    </w:p>
    <w:p>
      <w:pPr>
        <w:spacing w:before="40" w:after="40"/>
        <w:ind w:left="283"/>
      </w:pPr>
      <w:r>
        <w:rPr>
          <w:rFonts w:ascii="Calibri" w:hAnsi="Calibri"/>
          <w:b/>
          <w:color w:val="4A6B25"/>
          <w:sz w:val="20"/>
        </w:rPr>
        <w:t xml:space="preserve">2. </w:t>
      </w:r>
      <w:r>
        <w:rPr>
          <w:rFonts w:ascii="Calibri" w:hAnsi="Calibri"/>
          <w:b w:val="0"/>
          <w:color w:val="3A4A28"/>
          <w:sz w:val="20"/>
        </w:rPr>
        <w:t>Valuation compression risk with trailing PE of 43.6x and Forward PE of 31.8x after a 123% 52-week gain — the stock is priced for sustained 50%+ growth that will inevitably decelerate [5]</w:t>
      </w:r>
    </w:p>
    <w:p>
      <w:pPr>
        <w:spacing w:before="40" w:after="40"/>
        <w:ind w:left="283"/>
      </w:pPr>
      <w:r>
        <w:rPr>
          <w:rFonts w:ascii="Calibri" w:hAnsi="Calibri"/>
          <w:b/>
          <w:color w:val="4A6B25"/>
          <w:sz w:val="20"/>
        </w:rPr>
        <w:t xml:space="preserve">3. </w:t>
      </w:r>
      <w:r>
        <w:rPr>
          <w:rFonts w:ascii="Calibri" w:hAnsi="Calibri"/>
          <w:b w:val="0"/>
          <w:color w:val="3A4A28"/>
          <w:sz w:val="20"/>
        </w:rPr>
        <w:t>Customer concentration on a small number of hyperscalers creates single-customer-loss risk, and net insider selling of $63.2M in three months signals management is diversifying at current prices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(9/9): Celestica IS AI infrastructure — the company designs and manufactures the custom servers, networking switches, and storage hardware that enable AI compute at hyperscale [1]. AI cannot displace Celestica because AI requires Celestica's products to exist. Every dollar of incremental AI capex from hyperscalers translates to demand for Celestica's CCS hardware platforms. The 76% YoY CCS revenue growth in Q1 2026 demonstrates that AI spending directly increases Celestica's addressable market. Physical-world manufacturing, complex engineering design, and deep customer relationships create structural moats that AI enhances rather than threatens. AI Opportunity (1/1): CCS segment is generating $4B+ in quarterly revenue directly from AI-driven infrastructure demand, with the $19B 2026 guidance representing 53% YoY growth driven almost entirely by AI/ML workload buildout for hyperscalers [1][2].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0</w:t>
      </w:r>
      <w:r>
        <w:rPr>
          <w:rFonts w:ascii="Calibri" w:hAnsi="Calibri"/>
          <w:b/>
          <w:color w:val="B8860B"/>
          <w:sz w:val="20"/>
        </w:rPr>
        <w:t xml:space="preserve">    MIXED</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Celestica Q1 2026 Earnings Release — $4.05B revenue (+53% YoY), $1.83 GAAP EPS, $2.16 adj EPS, FY2026 guidance raised to $19.0B/$10.15, April 27, 2026</w:t>
      </w:r>
    </w:p>
    <w:p>
      <w:pPr>
        <w:spacing w:before="20" w:after="20"/>
        <w:ind w:left="170"/>
      </w:pPr>
      <w:r>
        <w:rPr>
          <w:rFonts w:ascii="Calibri" w:hAnsi="Calibri"/>
          <w:b/>
          <w:color w:val="4A6B25"/>
          <w:sz w:val="15"/>
        </w:rPr>
        <w:t xml:space="preserve">2. </w:t>
      </w:r>
      <w:r>
        <w:rPr>
          <w:rFonts w:ascii="Calibri" w:hAnsi="Calibri"/>
          <w:b w:val="0"/>
          <w:color w:val="3A4A28"/>
          <w:sz w:val="17"/>
        </w:rPr>
        <w:t>StockAnalysis.com and MarketBeat — CLS statistics: $359.85 price, PE 43.57, Forward PE 31.76, ROE 52.45%, D/E 45%, insider selling $63.2M, July 2026</w:t>
      </w:r>
    </w:p>
    <w:p>
      <w:pPr>
        <w:spacing w:before="20" w:after="20"/>
        <w:ind w:left="170"/>
      </w:pPr>
      <w:r>
        <w:rPr>
          <w:rFonts w:ascii="Calibri" w:hAnsi="Calibri"/>
          <w:b/>
          <w:color w:val="4A6B25"/>
          <w:sz w:val="15"/>
        </w:rPr>
        <w:t xml:space="preserve">3. </w:t>
      </w:r>
      <w:r>
        <w:rPr>
          <w:rFonts w:ascii="Calibri" w:hAnsi="Calibri"/>
          <w:b w:val="0"/>
          <w:color w:val="3A4A28"/>
          <w:sz w:val="17"/>
        </w:rPr>
        <w:t>Celestica CCS Leadership Transition — Steven Dorwart appointed President, Connectivity and Cloud Solutions, effective July 6, 2026; Rob Mionis to Board Chairman May 2026</w:t>
      </w:r>
    </w:p>
    <w:p>
      <w:pPr>
        <w:spacing w:before="20" w:after="20"/>
        <w:ind w:left="170"/>
      </w:pPr>
      <w:r>
        <w:rPr>
          <w:rFonts w:ascii="Calibri" w:hAnsi="Calibri"/>
          <w:b/>
          <w:color w:val="4A6B25"/>
          <w:sz w:val="15"/>
        </w:rPr>
        <w:t xml:space="preserve">4. </w:t>
      </w:r>
      <w:r>
        <w:rPr>
          <w:rFonts w:ascii="Calibri" w:hAnsi="Calibri"/>
          <w:b w:val="0"/>
          <w:color w:val="3A4A28"/>
          <w:sz w:val="17"/>
        </w:rPr>
        <w:t>Celestica Sustainability Reporting — SBTi 1.5C targets, RBA membership, 155 energy projects in 2024, CDP Corporate Questionnaire 2025</w:t>
      </w:r>
    </w:p>
    <w:p>
      <w:pPr>
        <w:spacing w:before="20" w:after="20"/>
        <w:ind w:left="170"/>
      </w:pPr>
      <w:r>
        <w:rPr>
          <w:rFonts w:ascii="Calibri" w:hAnsi="Calibri"/>
          <w:b/>
          <w:color w:val="4A6B25"/>
          <w:sz w:val="15"/>
        </w:rPr>
        <w:t xml:space="preserve">5. </w:t>
      </w:r>
      <w:r>
        <w:rPr>
          <w:rFonts w:ascii="Calibri" w:hAnsi="Calibri"/>
          <w:b w:val="0"/>
          <w:color w:val="3A4A28"/>
          <w:sz w:val="17"/>
        </w:rPr>
        <w:t>StockAnalysis.com — CLS financial metrics: market cap $41.46B, revenue $13.79B TTM, PEG 0.79, profit margin 6.95%, avg volume 1.58M, July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