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CLX</w:t>
      </w:r>
      <w:r>
        <w:rPr>
          <w:rFonts w:ascii="Calibri" w:hAnsi="Calibri"/>
          <w:b/>
          <w:color w:val="1A2010"/>
          <w:sz w:val="40"/>
        </w:rPr>
        <w:t xml:space="preserve">  The Clorox Company</w:t>
      </w:r>
    </w:p>
    <w:p>
      <w:pPr>
        <w:spacing w:after="120"/>
      </w:pPr>
      <w:r>
        <w:rPr>
          <w:rFonts w:ascii="Calibri" w:hAnsi="Calibri"/>
          <w:b/>
          <w:color w:val="6E8450"/>
          <w:sz w:val="18"/>
        </w:rPr>
        <w:t>DIVIDEND SLEEVE · 2026-07-16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The Clorox Company manufactures and markets consumer and professional products worldwide, including cleaning (Clorox, Pine-Sol), household (Glad, Kingsford), lifestyle (Burt's Bees, Brita), and international segments. The company holds #1 or #2 market share positions across most categories. Currently in year 4 of a 5-year, $580M digital transformation including ERP modernization and AI integration.</w:t>
      </w:r>
    </w:p>
    <w:p>
      <w:r>
        <w:rPr>
          <w:rFonts w:ascii="Calibri" w:hAnsi="Calibri"/>
          <w:b/>
          <w:color w:val="6E8450"/>
          <w:sz w:val="18"/>
        </w:rPr>
        <w:t>7,600 Employees · https://www.thecloroxcompany.com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Clorox's multi-year $580M ERP/digital transformation has consumed management attention and disrupted shipments — Q2 FY2026 net sales declined 1% and Q3 was flat, with FY2026 guidance calling for mid-single-digit revenue decline driven by ERP transition and the Better Health VMS divestiture [1][2]. No transformative new product category or business model pivot in the past 5 years. AI Deployment (1/2): Clorox has deployed a generative AI innovation tool that identifies global trends, enabling the company to quickly develop hundreds of digital prototypes and test them with millions of consumers — a significant upgrade from the 20-person focus group model [3]. CEO Linda Rendle has articulated a clear AI strategy at investor conferences. However, no specific revenue gains or cost savings have been quantified. Market Share (1/2): Clorox holds #1 or #2 positions in cleaning, trash bags, and charcoal, but has been losing market share sequentially in trash bags (Glad) and cat litter (Fresh Step) to competitors like SC Johnson and Church &amp; Dwight [2]. Product Pipeline (0/2): No specific next-gen products announced with launch dates or revenue visibility. R&amp;D Intensity (0/1): While the $580M digital transformation is significant, the bulk is ERP modernization rather than R&amp;D; traditional R&amp;D spending is modest for a marketing-driven CPG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Clorox's IGNITE strategy articulates a purpose around 'healthy lives, clean world, thriving communities' — clear and connected to the business but not deeply distinctive or transformative, and the mission hasn't been meaningfully tested through executive sacrifice [4]. Community Impact (1/2): Clorox achieved 100% renewable electricity for U.S./Canada operations in 2021 (four years early), targets 50% reduction in virgin plastic/fiber packaging by 2030, and maintains a 46% female and 31% minority board representation [4]. The Clorox Foundation supports community programs. These are organized and genuine but not standout relative to consumer staples peers. Employee Retention (0/2): Glassdoor reviews indicate deteriorating culture — 'company culture has completely shifted' with departments being outsourced and layoffs eroding organizational trust [5]. The multi-year ERP migration has created operational disruption affecting frontline confidence. CEO Rendle's approval rating is mediocre.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Clorox's infrastructure is anchored by its exceptional dividend tradition and attractive forward valuation but severely undermined by extreme leverage and declining revenue. D/E exceeds 7,000% reflecting near-zero book equity from decades of leveraged share buybacks, scoring 0 on that metric [6]. ROE of 546% is artificially inflated by the tiny equity base and not indicative of genuine return quality. Forward P/E of 13.9x is attractive relative to sector peers and the 20x target. Revenue declined ~5% in FY2026 due to ERP disruption and divestiture effects, with 5-year CAGR approximately -1.7% reflecting post-COVID normalization [1][2]. Profit margin of 11.2% is below the 20% target. The dividend profile is the primary strength: $4.96 annual dividend providing a 5.6% yield, with 49 consecutive years of dividend increases approaching Dividend King status — one of the longest dividend growth streaks in the consumer staples sector [6]. However, the 79% payout ratio is elevated and dividend growth has stagnated at ~1.3% 5-year CAGR.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Clorox operates with a finite mindset despite a well-articulated purpose framework. The IGNITE strategy provides genuine long-term vision, but execution has been dominated by ERP disruption, revenue decline, layoffs, outsourcing, and market share losses that reflect short-term optimization pressure. The $580M digital transformation demonstrates infrastructure investment, but it was a catch-up rather than a forward-looking bet, and the organizational pain it has caused undermines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Clorox's IGNITE strategy around 'healthy lives, clean world, thriving communities' is a genuine, well-articulated cause that connects cleaning and wellness brands to broader purpose [4]. The company achieved 100% renewable electricity four years early, established board-level ESG governance, and has maintained this cause framework through the ERP disruption. However, the cause hasn't been tested through genuine executive sacrifice — the leadership has not chosen purpose over profitability in a visible way.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deteriorating culture — 'company culture has completely shifted' with departments being outsourced and layoffs reducing organizational trust [5]. The multi-year ERP migration has created operational chaos affecting shipments and inventory, eroding frontline confidence. CEO Linda Rendle's mediocre approval rating and evidence of outsourcing suggest a low-trust environment under transformation strain.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Clorox demonstrates awareness of competitive dynamics, with management acknowledging sequential market share losses and competitive pressures in trash bags and cat litter from rivals like SC Johnson and Church &amp; Dwight [2]. The company frames competition as motivation to improve execution and innovation rather than using purely adversarial language.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Clorox has not demonstrated transformative strategic flexibility. The company has maintained its legacy cleaning, household, and lifestyle brand portfolio without fundamental business model reinvention. The Better Health VMS divestiture was portfolio pruning, not a strategic pivot. The $580M ERP migration is operational modernization, not an existential transformation. The company has not entered entirely new markets or abandoned core businesses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$580M digital transformation is the most significant leadership decision, but it was a necessary operational catch-up (first ERP upgrade in two decades) rather than a bold strategic bet [3]. Cost pressures have led to outsourcing and layoffs rather than investment in people and capabilities. FY2026 revenue decline and EPS compression were partially attributable to management decisions on the ERP timing. Leadership has not demonstrated willingness to sacrifice near-term earnings for a cause beyond operational modernization.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Clorox at 13.9x forward earnings offers defensive exposure to essential household brands with #1 or #2 market positions and a compelling 5.6% dividend yield supported by 49 consecutive years of dividend increases — approaching Dividend King status in 2027 [1][6]. The ERP system migration — the primary driver of FY2026's revenue decline — is in year 4 of 5, with Q3 FY2026 showing flat sales (improvement from -1% in Q2), signaling the disruption is easing [2]. CEO Rendle's AI investment and digital transformation, while painful in execution, should deliver operational efficiency gains in FY2027 and beyond [3].</w:t>
      </w:r>
    </w:p>
    <w:p>
      <w:pPr>
        <w:spacing w:after="120"/>
      </w:pPr>
      <w:r>
        <w:rPr>
          <w:rFonts w:ascii="Calibri" w:hAnsi="Calibri"/>
          <w:b w:val="0"/>
          <w:color w:val="3A4A28"/>
          <w:sz w:val="20"/>
        </w:rPr>
        <w:t>The bear case centers on structural deterioration beneath the ERP narrative. D/E exceeding 7,000% reflects negative book equity from decades of leveraged buybacks, leaving zero balance sheet flexibility [6]. Profit margin of 11.2% is subpar for a premium household goods company. Market share losses in trash bags and cat litter to competitors like SC Johnson and Church &amp; Dwight indicate potential brand erosion, not just ERP disruption [2]. The 79% payout ratio with stagnant 1.3% 5-year dividend growth CAGR suggests the dividend is being sustained at the expense of reinvestment. Glassdoor reviews citing outsourcing, layoffs, and cultural deterioration raise concerns about long-term organizational capability [5]. Revenue has declined on a 5-year basis (-1.7% CAGR), and the post-COVID demand normalization may have permanently reset the growth trajectory lower.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ERP transition completion by end of FY2026 (June 2026) expected to normalize shipments and eliminate transitory sales headwinds, enabling organic growth recovery in FY2027 [1][2]</w:t>
      </w:r>
    </w:p>
    <w:p>
      <w:pPr>
        <w:spacing w:before="40" w:after="40"/>
        <w:ind w:left="283"/>
      </w:pPr>
      <w:r>
        <w:rPr>
          <w:rFonts w:ascii="Calibri" w:hAnsi="Calibri"/>
          <w:b/>
          <w:color w:val="4A6B25"/>
          <w:sz w:val="20"/>
        </w:rPr>
        <w:t xml:space="preserve">2. </w:t>
      </w:r>
      <w:r>
        <w:rPr>
          <w:rFonts w:ascii="Calibri" w:hAnsi="Calibri"/>
          <w:b w:val="0"/>
          <w:color w:val="3A4A28"/>
          <w:sz w:val="20"/>
        </w:rPr>
        <w:t>Generative AI innovation tool and $580M digital transformation investment positioned to deliver operational efficiency gains and accelerate product development cycles in FY2027+ [3]</w:t>
      </w:r>
    </w:p>
    <w:p>
      <w:pPr>
        <w:spacing w:before="40" w:after="40"/>
        <w:ind w:left="283"/>
      </w:pPr>
      <w:r>
        <w:rPr>
          <w:rFonts w:ascii="Calibri" w:hAnsi="Calibri"/>
          <w:b/>
          <w:color w:val="4A6B25"/>
          <w:sz w:val="20"/>
        </w:rPr>
        <w:t xml:space="preserve">3. </w:t>
      </w:r>
      <w:r>
        <w:rPr>
          <w:rFonts w:ascii="Calibri" w:hAnsi="Calibri"/>
          <w:b w:val="0"/>
          <w:color w:val="3A4A28"/>
          <w:sz w:val="20"/>
        </w:rPr>
        <w:t>5.6% dividend yield with 49 consecutive years of increases — approaching Dividend King status — provides income floor and potential rerating as growth normalizes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Market share losses in Glad (trash bags) and Fresh Step (cat litter) may be structural competitive erosion from private label and rivals, not merely ERP-related disruption [2]</w:t>
      </w:r>
    </w:p>
    <w:p>
      <w:pPr>
        <w:spacing w:before="40" w:after="40"/>
        <w:ind w:left="283"/>
      </w:pPr>
      <w:r>
        <w:rPr>
          <w:rFonts w:ascii="Calibri" w:hAnsi="Calibri"/>
          <w:b/>
          <w:color w:val="4A6B25"/>
          <w:sz w:val="20"/>
        </w:rPr>
        <w:t xml:space="preserve">2. </w:t>
      </w:r>
      <w:r>
        <w:rPr>
          <w:rFonts w:ascii="Calibri" w:hAnsi="Calibri"/>
          <w:b w:val="0"/>
          <w:color w:val="3A4A28"/>
          <w:sz w:val="20"/>
        </w:rPr>
        <w:t>D/E exceeding 7,000% and near-zero book equity leave zero balance sheet cushion — any sustained earnings miss could pressure the dividend and credit ratings [6]</w:t>
      </w:r>
    </w:p>
    <w:p>
      <w:pPr>
        <w:spacing w:before="40" w:after="40"/>
        <w:ind w:left="283"/>
      </w:pPr>
      <w:r>
        <w:rPr>
          <w:rFonts w:ascii="Calibri" w:hAnsi="Calibri"/>
          <w:b/>
          <w:color w:val="4A6B25"/>
          <w:sz w:val="20"/>
        </w:rPr>
        <w:t xml:space="preserve">3. </w:t>
      </w:r>
      <w:r>
        <w:rPr>
          <w:rFonts w:ascii="Calibri" w:hAnsi="Calibri"/>
          <w:b w:val="0"/>
          <w:color w:val="3A4A28"/>
          <w:sz w:val="20"/>
        </w:rPr>
        <w:t>79% payout ratio with 1.3% dividend growth CAGR suggests the dividend is approaching its ceiling without meaningful earnings recovery, risking stagnation or cuts if revenue decline persists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Clorox manufactures physical household cleaning products, charcoal, trash bags, and water filtration systems — categories that AI structurally cannot displace [1]. Consumers will continue purchasing Clorox bleach, Glad bags, and Pine-Sol regardless of AI advancement. The core business involves chemical manufacturing, physical distribution, and retail shelf placement, all immune to AI substitution. No analysts identify AI as a risk to household products manufacturers. AI Opportunity (0/1): CEO Linda Rendle has deployed a generative AI innovation tool and invested in AI through the $580M digital transformation, using AI to develop product prototypes and test with millions of consumers [3]. However, these are internal efficiency tools with no quantified revenue impact or external AI products, falling short of the 1-point threshold for measurable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Clorox Q3 FY2026 Earnings Release — $1.67B net sales (flat YoY), diluted EPS $1.54 (+3%), updated outlook, April 2026</w:t>
      </w:r>
    </w:p>
    <w:p>
      <w:pPr>
        <w:spacing w:before="20" w:after="20"/>
        <w:ind w:left="170"/>
      </w:pPr>
      <w:r>
        <w:rPr>
          <w:rFonts w:ascii="Calibri" w:hAnsi="Calibri"/>
          <w:b/>
          <w:color w:val="4A6B25"/>
          <w:sz w:val="15"/>
        </w:rPr>
        <w:t xml:space="preserve">2. </w:t>
      </w:r>
      <w:r>
        <w:rPr>
          <w:rFonts w:ascii="Calibri" w:hAnsi="Calibri"/>
          <w:b w:val="0"/>
          <w:color w:val="3A4A28"/>
          <w:sz w:val="17"/>
        </w:rPr>
        <w:t>Clorox Q2 FY2026 Earnings Release — $1.67B net sales (-1%), diluted EPS $1.29 (-16%), confirmed outlook, February 2026</w:t>
      </w:r>
    </w:p>
    <w:p>
      <w:pPr>
        <w:spacing w:before="20" w:after="20"/>
        <w:ind w:left="170"/>
      </w:pPr>
      <w:r>
        <w:rPr>
          <w:rFonts w:ascii="Calibri" w:hAnsi="Calibri"/>
          <w:b/>
          <w:color w:val="4A6B25"/>
          <w:sz w:val="15"/>
        </w:rPr>
        <w:t xml:space="preserve">3. </w:t>
      </w:r>
      <w:r>
        <w:rPr>
          <w:rFonts w:ascii="Calibri" w:hAnsi="Calibri"/>
          <w:b w:val="0"/>
          <w:color w:val="3A4A28"/>
          <w:sz w:val="17"/>
        </w:rPr>
        <w:t>Consumer Goods Technology, CIO Dive, National CIO Review — Clorox $580M digital transformation, generative AI tool, CEO Linda Rendle AI strategy, 2025-2026</w:t>
      </w:r>
    </w:p>
    <w:p>
      <w:pPr>
        <w:spacing w:before="20" w:after="20"/>
        <w:ind w:left="170"/>
      </w:pPr>
      <w:r>
        <w:rPr>
          <w:rFonts w:ascii="Calibri" w:hAnsi="Calibri"/>
          <w:b/>
          <w:color w:val="4A6B25"/>
          <w:sz w:val="15"/>
        </w:rPr>
        <w:t xml:space="preserve">4. </w:t>
      </w:r>
      <w:r>
        <w:rPr>
          <w:rFonts w:ascii="Calibri" w:hAnsi="Calibri"/>
          <w:b w:val="0"/>
          <w:color w:val="3A4A28"/>
          <w:sz w:val="17"/>
        </w:rPr>
        <w:t>The Clorox Company ESG Governance, IGNITE Strategy — 100% renewable electricity, packaging goals, board diversity, 2022-2026</w:t>
      </w:r>
    </w:p>
    <w:p>
      <w:pPr>
        <w:spacing w:before="20" w:after="20"/>
        <w:ind w:left="170"/>
      </w:pPr>
      <w:r>
        <w:rPr>
          <w:rFonts w:ascii="Calibri" w:hAnsi="Calibri"/>
          <w:b/>
          <w:color w:val="4A6B25"/>
          <w:sz w:val="15"/>
        </w:rPr>
        <w:t xml:space="preserve">5. </w:t>
      </w:r>
      <w:r>
        <w:rPr>
          <w:rFonts w:ascii="Calibri" w:hAnsi="Calibri"/>
          <w:b w:val="0"/>
          <w:color w:val="3A4A28"/>
          <w:sz w:val="17"/>
        </w:rPr>
        <w:t>Glassdoor Employee Reviews — Clorox company culture concerns, outsourcing and layoffs,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MacroTrends, Yahoo Finance — CLX key statistics, P/E, dividend history,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