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CL</w:t>
      </w:r>
      <w:r>
        <w:rPr>
          <w:rFonts w:ascii="Calibri" w:hAnsi="Calibri"/>
          <w:b/>
          <w:color w:val="1A2010"/>
          <w:sz w:val="40"/>
        </w:rPr>
        <w:t xml:space="preserve">  Colgate-Palmolive Company</w:t>
      </w:r>
    </w:p>
    <w:p>
      <w:pPr>
        <w:spacing w:after="120"/>
      </w:pPr>
      <w:r>
        <w:rPr>
          <w:rFonts w:ascii="Calibri" w:hAnsi="Calibri"/>
          <w:b/>
          <w:color w:val="6E8450"/>
          <w:sz w:val="18"/>
        </w:rPr>
        <w:t>DIVIDEND SLEEVE · 2026-08-28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Household &amp; Personal Products · NYSE · United States</w:t>
      </w:r>
    </w:p>
    <w:p>
      <w:pPr>
        <w:spacing w:after="80"/>
      </w:pPr>
      <w:r>
        <w:rPr>
          <w:rFonts w:ascii="Calibri" w:hAnsi="Calibri"/>
          <w:b w:val="0"/>
          <w:color w:val="3A4A28"/>
          <w:sz w:val="20"/>
        </w:rPr>
        <w:t>Colgate-Palmolive is a global consumer products company operating across four segments: Oral Care, Personal Care, Home Care, and Pet Nutrition. The company's flagship brands include Colgate (toothpaste, #1 global market share), Palmolive (liquid soap), Hill's Science Diet and Prescription Diet (premium pet nutrition), Ajax, Softsoap, and Speed Stick. CL operates in over 200 countries and territories. Q1 2026 revenue of $5.32B (+8.4% reported, +2.9% organic) beat forecasts, and the company reaffirmed FY2026 guidance for 2-6% net sales growth, 1-4% organic growth, and low-to-mid single-digit non-GAAP EPS growth.</w:t>
      </w:r>
    </w:p>
    <w:p>
      <w:r>
        <w:rPr>
          <w:rFonts w:ascii="Calibri" w:hAnsi="Calibri"/>
          <w:b/>
          <w:color w:val="6E8450"/>
          <w:sz w:val="18"/>
        </w:rPr>
        <w:t>34,000 Employees · https://www.colgatepalmolive.com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Colgate has gained market share in oral care through premium product innovation (whitening systems, electric toothbrush technology) and expanded Hill's Pet Nutrition into a growth engine that now represents a significant portion of operating profit [1]. The company has also grown its e-commerce and direct-to-consumer capabilities across 200 markets. These represent meaningful market share gains and category expansion but not transformative business model reinventions. AI Deployment (1/2): Colgate is one of the most aggressive AI adopters in consumer staples — CEO Noel Wallace has mandated AI training for every non-plant worker, launched an internal AI hub, and is deploying GenAI to accelerate product innovation, with MIT Sloan documenting the company's shift from using AI for efficiency to using it to 'grow the business' [2]. The company's senior director of predictive analytics stated that 'innovation is the center of our growth strategy and is a great match for what generative AI models excel at.' However, no specific dollar-quantified AI savings or AI-powered consumer products were cited. Market Share (2/2): Colgate holds the #1 global market share in toothpaste (~40% worldwide) and toothbrushes, dominant positions in liquid hand soap, and Hill's is a leading premium pet nutrition brand [1]. Q1 2026 results showed innovation lifting market share across categories. Product Pipeline (1/2): Active innovation pipeline across oral care and pet nutrition, with new products contributing to organic growth, but no specific next-generation products with named launch dates and revenue visibility were disclosed. R&amp;D Intensity (1/1): Colgate invests above the consumer staples average in R&amp;D, particularly in oral care science, pet nutrition formulation, and sustainability-focused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Colgate-Palmolive's purpose — 'Reimagining a healthier future for all people, their pets and our planet' — is specific, thoughtful, and connects the company's work to a larger purpose beyond selling consumer products [2]. The mission differentiates from generic CPG peers by explicitly including pets and the planet, and is validated by specific programs like Bright Smiles, Bright Futures (oral health education reaching billions of children) and aggressive sustainability commitments. Community Impact (2/2): The Bright Smiles, Bright Futures program is one of the most impactful corporate community programs in consumer staples, reaching over 1.7 billion children globally with free dental screenings and oral health education since 1991 [3]. The company publishes comprehensive annual Sustainability and Social Impact Reports with measurable targets. Employee Retention (1/2): CEO Noel Wallace has been with Colgate for 35+ years, rising through international leadership roles. The company explicitly moves talent across borders to develop leaders, as documented by Fortune [2]. This suggests a deep bench of internally-developed talent, though no specific voluntary turnover data or employee tenure statistics were found. Insider Buying (0/2): No evidence of meaningful net insider buying by CEO 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The most significant drag is D/E of 1641% (ratio of 16.41), which scores 0 — however, this is an artifact of extensive share buybacks reducing stockholders' equity to a small base rather than indicating financial distress; CL's interest coverage and cash generation remain healthy [4]. ROE of 363.58% also reflects the low equity base and scores a perfect 1.0. Revenue growth YoY of approximately 6.7% (TTM revenue $20.80B vs prior year ~$19.5B) approaches the 10% target, and Forward P/E of 23.46 is reasonable [1][4]. The primary weakness is profit margin of 10.5%, well below the 20% target, reflecting CL's lower-margin home care and personal care mix. Dividend metrics are exceptional: CL is a Dividend King with 63 consecutive years of increases and approximately 131 years of continuous dividend payments, both maxing their respective metrics [4]. The 5-year dividend growth CAGR of approximately 3.0% trails the 6% target, and payout ratio of 78% is above the 40% target, indicating limited dividend growth headroom. Liquidity floor easily cleared at ~$426M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Colgate-Palmolive is a 200-year-old company that has demonstrated remarkable staying power through multiple eras — soap and candles, toothpaste, personal care, pet nutrition — with a genuine purpose centered on health and sustainability. CEO Noel Wallace's 35+ year tenure and the company's commitment to training every employee on AI reflect an organization that invests in its people and adapts to technological shifts. However, the slow organic growth rate (1-4% guidance), high payout ratio (78%), and cautious approach to disruption are hallmarks of a company playing to maintain rather than to transform.</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Colgate's purpose — 'Reimagining a healthier future for all people, their pets and our planet' — is genuine, partially lived, and validated by specific programs that connect the company's work to something bigger. The Bright Smiles, Bright Futures program has reached 1.7 billion children with oral health education since 1991, demonstrating decades of consistent commitment [3]. The sustainability targets and comprehensive ESG reporting show the purpose extends beyond marketing. However, the purpose has not been tested through a transformative crisis or pivot — Colgate has been making toothpaste for 200 years, and the mission has evolved around what the company already does rather than demanding a fundamentally new direction.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Colgate demonstrates strong internal talent development — CEO Wallace has been with the company 35+ years, and the company explicitly moves talent across borders to develop leaders, as documented by Fortune [2]. The comprehensive AI training program for every non-plant worker shows investment in employee capabilities rather than just cost reduction. However, no specific voluntary turnover data, employee engagement scores, or evidence of exceptional psychological safety was found to distinguish CL from industry averages.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Wallace's pragmatic approach to competitive dynamics — 'If we can't scale them, it's just talk and PR' — reflects a self-improvement orientation rather than competitor-obsessed language [2]. Colgate's willingness to adopt AI comprehensively and retrain the entire workforce signals competitive self-awareness about capabilities gaps. The company focuses on gaining share through innovation and execution rather than attacking competitors directly.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Colgate has meaningfully evolved over its 200-year history — from soap and candle manufacturing (1806) to global oral care leadership, and the Hill's Pet Nutrition business represents a significant strategic diversification into a higher-margin, faster-growing category [1]. The company has adapted to digital commerce, direct-to-consumer models, and AI-powered operations. However, these have been incremental evolutions rather than transformative pivots that abandoned the core business. The fundamental model — branded consumer products distributed through retail — has been consistent for decades.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Wallace's decision to train every non-plant employee on AI and build comprehensive AI capabilities across 200 markets represents a meaningful long-term investment in organizational capability [2]. The Bright Smiles program represents sustained investment in community health with no direct financial return. However, these are investments within the existing business model rather than costly bets that sacrifice near-term performance. The gross margin guidance reduction due to tariffs and cost inflation — rather than absorbing costs to invest in growth — reflects pragmatic financial management rather than courageous long-term positioning.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Colgate-Palmolive at 23.5x forward earnings is a global consumer staples franchise with unmatched brand positioning — #1 worldwide in toothpaste (~40% market share) and toothbrushes, with Hill's Pet Nutrition providing a higher-margin growth engine [1]. Q1 2026 revenue of $5.32B beat forecasts by $100M with 8.4% reported growth, and the company is among the most advanced AI adopters in consumer staples, training every non-plant worker and deploying GenAI across 200 markets to accelerate innovation [2]. The 63-year consecutive dividend increase streak (Dividend King status) and 131-year dividend payment history provide income reliability. ROE of 363.58% (equity depleted by buybacks) and Forward P/E of 23.46x represent a reasonable valuation for a global defensive compounder with consistent free cash flow generation.</w:t>
      </w:r>
    </w:p>
    <w:p>
      <w:pPr>
        <w:spacing w:after="120"/>
      </w:pPr>
      <w:r>
        <w:rPr>
          <w:rFonts w:ascii="Calibri" w:hAnsi="Calibri"/>
          <w:b w:val="0"/>
          <w:color w:val="3A4A28"/>
          <w:sz w:val="20"/>
        </w:rPr>
        <w:t>The bear case centers on structural growth constraints and margin vulnerability. Organic sales growth guidance of only 1-4% for FY2026 implies CL is a low-single-digit organic grower in a world requiring mid-single-digit growth to justify a 23.5x forward multiple [1][4]. The payout ratio of 78% leaves minimal headroom for dividend growth acceleration — the 3.0% 5-year dividend CAGR barely keeps pace with inflation. Gross margin guidance was revised downward due to tariff and input cost pressures, exposing the vulnerability of a global supply chain spanning 200+ markets to trade policy disruption [1]. D/E of 1641% (buyback-driven) means the company has essentially no equity cushion, making it reliant on continuous cash flow generation to service debt. Profit margin of 10.5% is below consumer staples peers like P&amp;G (~19%) and CHD (~12%), reflecting a heavier mix of lower-margin home and personal care products. The Inspire Impact Score of -49 (MISALIGNED) due to LGBT Activism attribution limits allocation for faith-based investors despite strong operational ESG practices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Hill's Pet Nutrition segment continues to outperform as a premium, higher-margin growth engine — veterinary-recommended products create switching costs and recurring revenue that could re-rate CL's sum-of-the-parts valuation [1]</w:t>
      </w:r>
    </w:p>
    <w:p>
      <w:pPr>
        <w:spacing w:before="40" w:after="40"/>
        <w:ind w:left="283"/>
      </w:pPr>
      <w:r>
        <w:rPr>
          <w:rFonts w:ascii="Calibri" w:hAnsi="Calibri"/>
          <w:b/>
          <w:color w:val="4A6B25"/>
          <w:sz w:val="20"/>
        </w:rPr>
        <w:t xml:space="preserve">2. </w:t>
      </w:r>
      <w:r>
        <w:rPr>
          <w:rFonts w:ascii="Calibri" w:hAnsi="Calibri"/>
          <w:b w:val="0"/>
          <w:color w:val="3A4A28"/>
          <w:sz w:val="20"/>
        </w:rPr>
        <w:t>Industry-leading AI deployment across 200 markets — training every non-plant worker and using GenAI to accelerate product innovation — could drive margin expansion and market share gains not yet reflected in the stock's valuation [2]</w:t>
      </w:r>
    </w:p>
    <w:p>
      <w:pPr>
        <w:spacing w:before="40" w:after="40"/>
        <w:ind w:left="283"/>
      </w:pPr>
      <w:r>
        <w:rPr>
          <w:rFonts w:ascii="Calibri" w:hAnsi="Calibri"/>
          <w:b/>
          <w:color w:val="4A6B25"/>
          <w:sz w:val="20"/>
        </w:rPr>
        <w:t xml:space="preserve">3. </w:t>
      </w:r>
      <w:r>
        <w:rPr>
          <w:rFonts w:ascii="Calibri" w:hAnsi="Calibri"/>
          <w:b w:val="0"/>
          <w:color w:val="3A4A28"/>
          <w:sz w:val="20"/>
        </w:rPr>
        <w:t>Oral care innovation in premium whitening and electric toothbrush segments could expand margins and drive trade-up within Colgate's dominant global toothpaste franchise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growth guidance of only 1-4% for FY2026 suggests structural deceleration in core categories — a low-single-digit organic grower at 23.5x forward earnings has limited margin of safety if growth disappoints [1]</w:t>
      </w:r>
    </w:p>
    <w:p>
      <w:pPr>
        <w:spacing w:before="40" w:after="40"/>
        <w:ind w:left="283"/>
      </w:pPr>
      <w:r>
        <w:rPr>
          <w:rFonts w:ascii="Calibri" w:hAnsi="Calibri"/>
          <w:b/>
          <w:color w:val="4A6B25"/>
          <w:sz w:val="20"/>
        </w:rPr>
        <w:t xml:space="preserve">2. </w:t>
      </w:r>
      <w:r>
        <w:rPr>
          <w:rFonts w:ascii="Calibri" w:hAnsi="Calibri"/>
          <w:b w:val="0"/>
          <w:color w:val="3A4A28"/>
          <w:sz w:val="20"/>
        </w:rPr>
        <w:t>Gross margin guidance reduced due to tariff and input cost pressures across CL's global supply chain — with operations in 200+ countries, trade policy disruption creates unpredictable margin volatility [1]</w:t>
      </w:r>
    </w:p>
    <w:p>
      <w:pPr>
        <w:spacing w:before="40" w:after="40"/>
        <w:ind w:left="283"/>
      </w:pPr>
      <w:r>
        <w:rPr>
          <w:rFonts w:ascii="Calibri" w:hAnsi="Calibri"/>
          <w:b/>
          <w:color w:val="4A6B25"/>
          <w:sz w:val="20"/>
        </w:rPr>
        <w:t xml:space="preserve">3. </w:t>
      </w:r>
      <w:r>
        <w:rPr>
          <w:rFonts w:ascii="Calibri" w:hAnsi="Calibri"/>
          <w:b w:val="0"/>
          <w:color w:val="3A4A28"/>
          <w:sz w:val="20"/>
        </w:rPr>
        <w:t>Payout ratio of 78% constrains dividend growth capacity — the 3.0% 5-year CAGR barely exceeds inflation, and any earnings pressure could force a choice between maintaining the 63-year increase streak and investing in the business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Colgate-Palmolive's core business is manufacturing and distributing physical consumer products — toothpaste, soap, pet food — that AI structurally cannot replace. The company's brand moats (Colgate is the #1 toothpaste brand globally), distribution networks spanning 200+ countries, and regulatory barriers in oral care and pet nutrition create significant protection against AI disruption [1]. The primary risk vector is AI-powered formulation and marketing tools enabling private label competition in commoditized categories like liquid soap and cleaning products. However, premium segments (Hill's Prescription Diet requires veterinary recommendation, Colgate oral care benefits from dental professional endorsement) have structural moats. Analysts are not flagging AI as a risk to CL's core business. AI Opportunity (0/1): Colgate is investing heavily in AI for internal innovation, marketing optimization, and operational efficiency across 200 markets — one of the most comprehensive AI adoption programs in consumer staples — but does not generate direct revenue from AI products or services [2]. CEO Wallace explicitly frames AI as a business growth tool ('use AI to grow the business, not just drive efficiencies'), but the value creation shows up in margin and innovation speed rather than as a discrete AI revenue line.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Colgate-Palmolive Q1 2026 Earnings Release — Revenue $5.32B (+8.4% reported, +2.9% organic), Base Business EPS +7%, Reaffirmed FY2026 Guidance (2-6% net sales, 1-4% organic), Gross Margin Guidance Revised Down, May 2026</w:t>
      </w:r>
    </w:p>
    <w:p>
      <w:pPr>
        <w:spacing w:before="20" w:after="20"/>
        <w:ind w:left="170"/>
      </w:pPr>
      <w:r>
        <w:rPr>
          <w:rFonts w:ascii="Calibri" w:hAnsi="Calibri"/>
          <w:b/>
          <w:color w:val="4A6B25"/>
          <w:sz w:val="15"/>
        </w:rPr>
        <w:t xml:space="preserve">2. </w:t>
      </w:r>
      <w:r>
        <w:rPr>
          <w:rFonts w:ascii="Calibri" w:hAnsi="Calibri"/>
          <w:b w:val="0"/>
          <w:color w:val="3A4A28"/>
          <w:sz w:val="17"/>
        </w:rPr>
        <w:t>Colgate-Palmolive AI Strategy and Leadership — CEO Noel Wallace (35+ yr tenure), AI Training for All Non-Plant Workers, GenAI Innovation Hub, MIT Sloan Review, Fortune, Consumer Goods Technology, 2025-2026</w:t>
      </w:r>
    </w:p>
    <w:p>
      <w:pPr>
        <w:spacing w:before="20" w:after="20"/>
        <w:ind w:left="170"/>
      </w:pPr>
      <w:r>
        <w:rPr>
          <w:rFonts w:ascii="Calibri" w:hAnsi="Calibri"/>
          <w:b/>
          <w:color w:val="4A6B25"/>
          <w:sz w:val="15"/>
        </w:rPr>
        <w:t xml:space="preserve">3. </w:t>
      </w:r>
      <w:r>
        <w:rPr>
          <w:rFonts w:ascii="Calibri" w:hAnsi="Calibri"/>
          <w:b w:val="0"/>
          <w:color w:val="3A4A28"/>
          <w:sz w:val="17"/>
        </w:rPr>
        <w:t>Colgate-Palmolive ESG and Community Impact — Bright Smiles Bright Futures (1.7B children reached), Sustainalytics Moderate Controversy, Annual Sustainability and Social Impact Reports,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 CL Key Statistics: Forward P/E 23.46, PEG 4.71, ROE 363.58%, D/E 16.41, Profit Margin 10.5%, Dividend Yield 2.26%, Stock Price $90.87,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