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CME</w:t>
      </w:r>
      <w:r>
        <w:rPr>
          <w:rFonts w:ascii="Calibri" w:hAnsi="Calibri"/>
          <w:b/>
          <w:color w:val="1A2010"/>
          <w:sz w:val="40"/>
        </w:rPr>
        <w:t xml:space="preserve">  CME Group Inc.</w:t>
      </w:r>
    </w:p>
    <w:p>
      <w:pPr>
        <w:spacing w:after="120"/>
      </w:pPr>
      <w:r>
        <w:rPr>
          <w:rFonts w:ascii="Calibri" w:hAnsi="Calibri"/>
          <w:b/>
          <w:color w:val="6E8450"/>
          <w:sz w:val="18"/>
        </w:rPr>
        <w:t>GROWTH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NASDAQ · United States</w:t>
      </w:r>
    </w:p>
    <w:p>
      <w:pPr>
        <w:spacing w:after="80"/>
      </w:pPr>
      <w:r>
        <w:rPr>
          <w:rFonts w:ascii="Calibri" w:hAnsi="Calibri"/>
          <w:b w:val="0"/>
          <w:color w:val="3A4A28"/>
          <w:sz w:val="20"/>
        </w:rPr>
        <w:t>CME Group Inc. operates the world's largest derivatives marketplace, offering futures and options across interest rates, equity indexes, foreign exchange, agricultural commodities, energy, and metals. The company achieved a record Q1 2026 ADV of 36.2 million contracts (+22% YoY) and provides market data services, clearing, and settlement through its CME Clearinghouse. CEO Terry Duffy will transition to Executive Chairman in March 2027, with President/CFO Lynne Fitzpatrick succeeding as CEO.</w:t>
      </w:r>
    </w:p>
    <w:p>
      <w:r>
        <w:rPr>
          <w:rFonts w:ascii="Calibri" w:hAnsi="Calibri"/>
          <w:b/>
          <w:color w:val="6E8450"/>
          <w:sz w:val="18"/>
        </w:rPr>
        <w:t>3,875 Employees · https://www.cmegroup.com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CME achieved its fifth consecutive quarter of record revenue in Q1 2026 ($1.88B, +14% YoY), but the business model remains fundamentally unchanged — regulated derivatives exchange with incremental product additions [1]. The FanDuel partnership (2025) and planned 24/7 crypto trading represent extensions rather than transformations. AI Deployment (1/2): CME appointed a Chief Strategy &amp; Transformation Officer driving AI model adoption and continues its Google Cloud migration for enhanced data analytics, but no specific AI-powered products or quantified AI revenue/savings have been disclosed [2]. Market Share (2/2): CME is the undisputed global leader in exchange-traded derivatives with record Q1 2026 ADV of 36.2M contracts, dominating interest rate futures, equity index futures (S&amp;P 500, Nasdaq), and maintaining leadership across all six asset classes with records in each [1]. Pipeline (0/2): Growth comes from volume increases on existing products and pricing adjustments (3.5% market data rack rate increase for 2026) rather than transformative new platform launches. R&amp;D Intensity (1/1): Google Cloud migration and data analytics investment are meaningful for a financial infrastructure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CME Group's purpose — enabling clients to manage risk and capture opportunities through derivatives trading — is clear and functional but describes a service rather than a vision of a better future [2]. Community Impact (2/2): CME Group Foundation supports education and community development in Chicago with specific financial literacy and STEM programs; the company runs 11 global Employee Resource Groups (ERGs) and maintains a Corporate Giving Program with measurable community reach [3]. Employee Retention (1/2): The 2025 employee engagement survey reported 82% overall engagement with 74% participation, indicating a generally positive culture [3]. However, the Google Cloud migration and pod model restructuring have created internal friction. Insider Buying (1/2): Director William Shepard purchased 1,469 shares at $297.38 in March 2026 ($437K), a meaningful open-market buy, though partially offset by officer sales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Group's financials are exceptional across virtually every metric. D/E of 14% is extremely conservative for financial services, scoring 1.0 [4]. ROE of 15.92% meets the 15% target, scoring 1.0 at 2x weight [4]. Revenue grew 14% YoY in Q1 2026 to $1.88B and TTM revenue reached $6.76B (+7.5%), scoring near-perfect [1]. 5-year revenue CAGR of ~9.5% scores 0.96 at 2x weight. Profit margin of 63.32% is extraordinary — more than triple the 20% target — scoring 1.0 [4]. Forward P/E of 20.17 is at the target threshold, scoring ~0.98 [4]. For Growth sleeve, Forward PEG estimated at ~2.1 (score 0.47 at 2x weight). Weighted sum: approximately 9.5/10 x 10 = 10. Liquidity floor massively cleared: $246 x 3.33M avg daily volume = $819M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CME Group exhibits many characteristics of an infinite-minded organization — a 178-year institutional heritage dating to the Chicago Board of Trade in 1848, consistent purpose around market integrity and risk management, and a leadership model that prioritizes long-term market infrastructure. The orderly CEO transition from Duffy to Fitzpatrick (March 2027) demonstrates succession planning continuity. However, the stock dropped 4.9% on the transition announcement and competitive language occasionally reverts to finite framing around volume records.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Group's purpose — enabling efficient risk management and price discovery for global markets — has genuine depth rooted in 178 years of market infrastructure heritage [1]. This purpose survived multiple market crises (2008, COVID) where CME's clearing function proved essential to market stability. The planned leadership transition to Lynne Fitzpatrick preserves institutional continuity. However, the frequent emphasis on record volumes and consecutive record years suggests the purpose competes with finite performance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2025 employee engagement survey reported 82% overall engagement with 74% participation, with strengths in learning, collaboration, and recognition [3]. Eleven global ERGs (BOLD, PRIDE, WIN, WIT, SERVE) are central to employee experience. However, the Google Cloud migration has created internal friction, and the leadership transition announcement caused a 4.9% stock drop, followed by a 14.3% decline over 30 days, suggesting external stakeholder uncertainty about organizational stability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operates alongside ICE, Eurex, and CBOE in a competitive landscape where the company acknowledges competitors' strengths and uses competitive pressure to improve its offerings — expanding into new asset classes, improving data services, and upgrading technology infrastructure in response to competitor moves [1]. The planned 24/7 crypto trading is a direct response to emerging digital asset exchanges, showing willingness to learn and adapt.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has evolved from a physical trading floor for agricultural commodities to a fully electronic, multi-asset global derivatives platform. The CBOT (2007), NYMEX (2008), and NEX Group (2018) acquisitions represent strategic evolution, and the Google Cloud migration is a technology transformation [2]. The FanDuel partnership extends derivatives reach to retail markets. These represent meaningful but incremental adaptations rather than a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orderly CEO transition announcement — giving the market nine months' notice of the Duffy-to-Fitzpatrick handoff — demonstrates institutional courage to prioritize long-term succession over short-term stock reaction (shares fell 4.9% immediately) [2]. CME's commitment to maintaining clearing guarantees during market crises and investing in the Google Cloud migration despite employee resistance shows willingness to prioritize long-term capability over near-term comfort.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CME Group is a toll-booth business on global financial markets, collecting transaction and clearing fees on a record 36.2M average daily contracts in Q1 2026 (+22% YoY) with operating margins approaching 70% and virtually zero balance sheet risk (D/E 14%) [1][4]. Q1 2026 delivered record revenue of $1.88B (+14%) with net income climbing 21% to $1.15B, continuing a streak of consecutive record years [1]. The business benefits from structural tailwinds: market volatility drives hedging demand, regulatory requirements mandate central clearing, and CME's liquidity moat is self-reinforcing. At 20x forward earnings with 63% profit margins and minimal capex requirements, CME converts nearly all revenue growth into shareholder returns.</w:t>
      </w:r>
    </w:p>
    <w:p>
      <w:pPr>
        <w:spacing w:after="120"/>
      </w:pPr>
      <w:r>
        <w:rPr>
          <w:rFonts w:ascii="Calibri" w:hAnsi="Calibri"/>
          <w:b w:val="0"/>
          <w:color w:val="3A4A28"/>
          <w:sz w:val="20"/>
        </w:rPr>
        <w:t>The bear case centers on valuation and the leadership transition. At ~$89B market cap and 20x forward P/E, CME is priced for continued record performance — any normalization in market volatility would compress transaction fee revenue and the multiple [4]. The Duffy-to-Fitzpatrick CEO transition (March 2027) introduces execution risk during a period of competitive pressure from ICE, CBOE, and emerging crypto exchanges, and the stock has already declined 14.3% in the 30 days following the announcement [2]. Fee compression from competitive alternatives could erode pricing power over time. The 1.76% current dividend yield falls below the 2% income threshold, though the combined annual variable dividend brings total yield closer to 4.5% [4]. Revenue growth of 7.5% TTM, while strong, relies on elevated volatility that may not persist through a more stable macro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market volatility from tariff uncertainty, interest rate policy shifts, and geopolitical risk driving record derivatives trading volumes across all six asset classes, with non-U.S. ADV hitting 11.4M contracts (+30% YoY) [1]</w:t>
      </w:r>
    </w:p>
    <w:p>
      <w:pPr>
        <w:spacing w:before="40" w:after="40"/>
        <w:ind w:left="283"/>
      </w:pPr>
      <w:r>
        <w:rPr>
          <w:rFonts w:ascii="Calibri" w:hAnsi="Calibri"/>
          <w:b/>
          <w:color w:val="4A6B25"/>
          <w:sz w:val="20"/>
        </w:rPr>
        <w:t xml:space="preserve">2. </w:t>
      </w:r>
      <w:r>
        <w:rPr>
          <w:rFonts w:ascii="Calibri" w:hAnsi="Calibri"/>
          <w:b w:val="0"/>
          <w:color w:val="3A4A28"/>
          <w:sz w:val="20"/>
        </w:rPr>
        <w:t>Market data revenue growing 13%+ annually toward $900M+ in 2026, representing high-margin recurring revenue that reduces dependence on cyclical transaction volumes [1]</w:t>
      </w:r>
    </w:p>
    <w:p>
      <w:pPr>
        <w:spacing w:before="40" w:after="40"/>
        <w:ind w:left="283"/>
      </w:pPr>
      <w:r>
        <w:rPr>
          <w:rFonts w:ascii="Calibri" w:hAnsi="Calibri"/>
          <w:b/>
          <w:color w:val="4A6B25"/>
          <w:sz w:val="20"/>
        </w:rPr>
        <w:t xml:space="preserve">3. </w:t>
      </w:r>
      <w:r>
        <w:rPr>
          <w:rFonts w:ascii="Calibri" w:hAnsi="Calibri"/>
          <w:b w:val="0"/>
          <w:color w:val="3A4A28"/>
          <w:sz w:val="20"/>
        </w:rPr>
        <w:t>Planned 24/7 crypto trading and FanDuel partnership expanding CME's addressable market into retail and digital asset participants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Normalization of market volatility from current elevated levels would reduce hedging demand and transaction volumes, directly impacting the ~70% of revenue derived from transaction fees [1]</w:t>
      </w:r>
    </w:p>
    <w:p>
      <w:pPr>
        <w:spacing w:before="40" w:after="40"/>
        <w:ind w:left="283"/>
      </w:pPr>
      <w:r>
        <w:rPr>
          <w:rFonts w:ascii="Calibri" w:hAnsi="Calibri"/>
          <w:b/>
          <w:color w:val="4A6B25"/>
          <w:sz w:val="20"/>
        </w:rPr>
        <w:t xml:space="preserve">2. </w:t>
      </w:r>
      <w:r>
        <w:rPr>
          <w:rFonts w:ascii="Calibri" w:hAnsi="Calibri"/>
          <w:b w:val="0"/>
          <w:color w:val="3A4A28"/>
          <w:sz w:val="20"/>
        </w:rPr>
        <w:t>CEO leadership transition risk — Terry Duffy stepping down March 2027 after building CME into a $89B franchise, with market already reacting negatively (stock down 14.3% in 30 days post-announcement) [2]</w:t>
      </w:r>
    </w:p>
    <w:p>
      <w:pPr>
        <w:spacing w:before="40" w:after="40"/>
        <w:ind w:left="283"/>
      </w:pPr>
      <w:r>
        <w:rPr>
          <w:rFonts w:ascii="Calibri" w:hAnsi="Calibri"/>
          <w:b/>
          <w:color w:val="4A6B25"/>
          <w:sz w:val="20"/>
        </w:rPr>
        <w:t xml:space="preserve">3. </w:t>
      </w:r>
      <w:r>
        <w:rPr>
          <w:rFonts w:ascii="Calibri" w:hAnsi="Calibri"/>
          <w:b w:val="0"/>
          <w:color w:val="3A4A28"/>
          <w:sz w:val="20"/>
        </w:rPr>
        <w:t>Fee compression from intensifying competition with ICE, CBOE, and emerging crypto/digital asset exchanges that could erode CME's pricing power on standardized derivatives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CME Group's core business — operating regulated derivatives exchanges with clearing and settlement infrastructure — has significant structural protection through regulatory barriers (CFTC/SEC oversight), network effects (liquidity begets liquidity), and the critical role of central clearing in systemic risk management [1]. AI cannot replace the function of a regulated central counterparty clearinghouse. However, AI-powered trading platforms could eventually disintermediate some exchange functions, AI could enable bilateral OTC matching reducing demand for standardized futures, and AI-driven market-making could compress spreads and reduce transaction fee revenue [2]. AI Opportunity (1/1): CME generates revenue from AI-adjacent services — its market data business (growing 13%+ annually) serves quantitative and algorithmic trading firms that are heavy AI users, and increased AI-driven trading volume directly benefits transaction fee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CME Group Q1 2026 Earnings Release — $1.88B record revenue (+14% YoY), net income $1.15B (+21%), record ADV 36.2M contracts, April 2026</w:t>
      </w:r>
    </w:p>
    <w:p>
      <w:pPr>
        <w:spacing w:before="20" w:after="20"/>
        <w:ind w:left="170"/>
      </w:pPr>
      <w:r>
        <w:rPr>
          <w:rFonts w:ascii="Calibri" w:hAnsi="Calibri"/>
          <w:b/>
          <w:color w:val="4A6B25"/>
          <w:sz w:val="15"/>
        </w:rPr>
        <w:t xml:space="preserve">2. </w:t>
      </w:r>
      <w:r>
        <w:rPr>
          <w:rFonts w:ascii="Calibri" w:hAnsi="Calibri"/>
          <w:b w:val="0"/>
          <w:color w:val="3A4A28"/>
          <w:sz w:val="17"/>
        </w:rPr>
        <w:t>CME Group Press Releases — CEO Terry Duffy transition to Executive Chairman March 2027, Lynne Fitzpatrick appointed successor CEO; Google Cloud transformation; company culture, June-July 2026</w:t>
      </w:r>
    </w:p>
    <w:p>
      <w:pPr>
        <w:spacing w:before="20" w:after="20"/>
        <w:ind w:left="170"/>
      </w:pPr>
      <w:r>
        <w:rPr>
          <w:rFonts w:ascii="Calibri" w:hAnsi="Calibri"/>
          <w:b/>
          <w:color w:val="4A6B25"/>
          <w:sz w:val="15"/>
        </w:rPr>
        <w:t xml:space="preserve">3. </w:t>
      </w:r>
      <w:r>
        <w:rPr>
          <w:rFonts w:ascii="Calibri" w:hAnsi="Calibri"/>
          <w:b w:val="0"/>
          <w:color w:val="3A4A28"/>
          <w:sz w:val="17"/>
        </w:rPr>
        <w:t>CME Group ESG &amp; Culture — CME Group Foundation, 11 ERGs, 82% employee engagement, 2025 engagement survey results,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CME key statistics (P/E 20.91, Forward P/E 20.17, D/E 14%, ROE 15.92%, profit margin 63.32%),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