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CNC</w:t>
      </w:r>
      <w:r>
        <w:rPr>
          <w:rFonts w:ascii="Calibri" w:hAnsi="Calibri"/>
          <w:b/>
          <w:color w:val="1A2010"/>
          <w:sz w:val="40"/>
        </w:rPr>
        <w:t xml:space="preserve">  Centene Corporation</w:t>
      </w:r>
    </w:p>
    <w:p>
      <w:pPr>
        <w:spacing w:after="120"/>
      </w:pPr>
      <w:r>
        <w:rPr>
          <w:rFonts w:ascii="Calibri" w:hAnsi="Calibri"/>
          <w:b/>
          <w:color w:val="6E8450"/>
          <w:sz w:val="18"/>
        </w:rPr>
        <w:t>GROWTH SLEEVE · 2026-08-24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Healthcare Plans · NYSE · United States</w:t>
      </w:r>
    </w:p>
    <w:p>
      <w:pPr>
        <w:spacing w:after="80"/>
      </w:pPr>
      <w:r>
        <w:rPr>
          <w:rFonts w:ascii="Calibri" w:hAnsi="Calibri"/>
          <w:b w:val="0"/>
          <w:color w:val="3A4A28"/>
          <w:sz w:val="20"/>
        </w:rPr>
        <w:t>Centene Corporation is the largest Medicaid managed-care organization in the United States, also serving members through Medicare and ACA Marketplace plans. Under CEO Sarah London, Centene has refocused on its three core lines of business (Medicaid, Medicare, Marketplace), exited non-core operations, and driven a 'One CenTeam' cultural unification across roughly 60,000 employees. Q2 2026 results showed a sharp turnaround with adjusted EPS of $2.51 (vs. $1.10 consensus), revenue of $53.58B (+9.9% YoY), and medical loss ratio improving to 89.6% from 93% a year earlier [1]. Full-year 2026 EPS guidance was raised to greater than $4.80.</w:t>
      </w:r>
    </w:p>
    <w:p>
      <w:r>
        <w:rPr>
          <w:rFonts w:ascii="Calibri" w:hAnsi="Calibri"/>
          <w:b/>
          <w:color w:val="6E8450"/>
          <w:sz w:val="18"/>
        </w:rPr>
        <w:t>60,000 Employees · https://www.centene.com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Since 2022, CEO Sarah London has driven a significant operational turnaround — refocusing on three core lines of business, exiting non-core operations, and cutting the medical loss ratio from 93% to 89.6% year-over-year — a meaningful transformation though a margin-recovery story rather than a category-redefining pivot [1][2]. AI Deployment (1/2): Centene has deployed AI/ML tools including the HALO predictive risk program, along with AI-enabled fraud detection and payment-integrity tools across medical economics and forecasting, but no specific dollar figure for AI-driven savings has been disclosed [2]. Market Share (2/2): Centene is the largest Medicaid managed-care insurer in the U.S. by membership, a defining leadership position in its core category [1]. Product Pipeline (1/2): Management has laid out a multi-year trajectory (2026 revenue guidance of $193.5-$197.5B, margin-improvement plan through 2027 ACA plans, and a longer-term narrative toward ~$199B revenue and $2.8B earnings by 2029), giving some forward visibility, though this is financial guidance rather than named next-generation products [2]. R&amp;D Intensity (0/1): Health insurers do not typically disclose R&amp;D as a percentage of revenue, and no above-industry R&amp;D intensity evidence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Centene's 'One CenTeam' mission — 'transforming the health of the communities they serve, one person at a time' — is clear and connects explicitly to serving vulnerable, government-sponsored populations, but it reads close to standard managed-care industry language and hasn't been consistently lived given the company's billing conduct [1][2]. Community Impact (1/2): Centene has pursued affordable-housing partnerships addressing social determinants of health for Medicaid members, but no specific dollar figures or program scale were disclosed. Employee Retention (0/2): A widely-cited Glassdoor review titled 'RUN AWAY!!!! Senior Leadership warning' reflects negative internal sentiment, and no positive tenure or turnover data was found to offset it. Insider Buying (0/2): No evidence of net insider buying was identified in available disclosures.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Centene clears the liquidity floor comfortably (~$320M daily dollar volume). Growth-stock weighting (PEG 2x, ROE 2x, Rev 5yr CAGR 2x): Forward P/E of 13.91 (target ≤20) and Forward PEG of 0.36 (target ≤1.0) both score at the cap, reflecting a cheap valuation relative to the earnings recovery; D/E of 71% is just above the 70% target but still scores near 1.0; Revenue Growth YoY of 9.9% is just under the 10% target; estimated 5yr revenue CAGR of ~12% (2020 revenue ~$111B to 2025 ~$194.8B) clears target. The drag is TTM ROE of -20.4% and profit margin of -2.83%, both scoring 0 (below the 0% floor) as the company still digests losses from the 2025 Medicaid repricing cycle before the Q2 2026 turnaround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Centene under Sarah London has executed a credible operational turnaround and articulates a mission around serving vulnerable, government-sponsored populations, but the company's Just Cause is undercut by its own conduct — Centene has settled Medicaid pharmacy-benefit overbilling allegations with at least 20 states and set aside a $1.25B reserve, a direct contradiction of a 'transforming community health' purpose [3]. The refocus on three core lines and cultural unification show some courage and flexibility, but with no offsetting evidence of worthy-rival thinking and mixed internal-trust signals, Centene reads as a company still working through a finite-game credibility deficit rather than one built on a durable Just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Centene's mission to serve Medicaid, Medicare, and Marketplace members is service-oriented in principle, but it is undermined by the company's own multi-year Medicaid pharmacy-benefit overbilling conduct, which triggered settlements with at least 20 states and a $1.25B reserve — a material breach of trust with the vulnerable populations the mission claims to serve [3]. The cause exists on paper but has not been consistently lived through the company's billing practices.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'One CenTeam' initiative aims to unify 60,000+ employees around a shared purpose, but a widely-cited Glassdoor review warning prospective employees away from senior leadership, combined with no positive retention/tenure data, keeps this at an average rather than high-trust rating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management commentary referencing competitors as sources of learning or self-improvement was identified in available disclosures or earnings commentary; Centene's public narrative is centered on internal turnaround execution rather than competitive positioning.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Centene has meaningfully reshaped its portfolio under London — narrowing focus to three core lines of business and exiting non-core operations — a real strategic evolution, though it reads as a turnaround/streamlining response to margin pressure rather than a transformative bet made from strength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Leadership made the costly decision to exit non-core lines and absorb the near-term earnings hit needed to fix the medical loss ratio (93% down to 89.6%), prioritizing long-term margin discipline over defending revenue scale [1]. This is a genuine example of choosing capability over easy short-term optics, though it is one data point rather than a sustained multi-cycle pattern.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Centene delivered a decisive Q2 2026 turnaround, with adjusted EPS of $2.51 crushing the $1.10 consensus, revenue up 9.9% YoY to $53.58B, and medical loss ratio improving to 89.6% from 93% a year earlier as 2025's Medicaid repricing pain works through the model [1]. Full-year 2026 EPS guidance was raised to greater than $4.80 (from $3.40+), and the stock trades at a cheap 13.91x forward earnings and 0.36 PEG, suggesting the market has not fully priced in the margin recovery. As the largest Medicaid managed-care insurer with ~60,000 employees, Centene retains structural scale advantages and AI-enabled risk stratification (HALO) that could sustain the improved cost trend.</w:t>
      </w:r>
    </w:p>
    <w:p>
      <w:pPr>
        <w:spacing w:after="120"/>
      </w:pPr>
      <w:r>
        <w:rPr>
          <w:rFonts w:ascii="Calibri" w:hAnsi="Calibri"/>
          <w:b w:val="0"/>
          <w:color w:val="3A4A28"/>
          <w:sz w:val="20"/>
        </w:rPr>
        <w:t>The bear case centers on trust and governance overhang. Centene has settled Medicaid pharmacy-benefit overbilling allegations with at least 20 states, set aside a $1.25B reserve, and continues litigating related disputes as of April 2026 — a pattern that materially undercuts any 'transforming community health' Just Cause narrative and creates ongoing regulatory/political risk given Centene's total dependence on government contracts [3]. TTM ROE of -20.4% and profit margin of -2.83% reflect a company still digesting losses, Medicaid funding and eligibility redetermination policy remains a persistent macro risk, and a Glassdoor review warning about senior leadership points to unresolved internal culture issues. This is a WATCH: the turnaround is real and the valuation is cheap, but governance and mission-execution risk keep it below a BUY.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medical loss ratio improvement toward the 90.5%-91.3% full-year 2026 guide would validate the margin-recovery thesis and support the raised EPS guidance of &gt;$4.80 [1]</w:t>
      </w:r>
    </w:p>
    <w:p>
      <w:pPr>
        <w:spacing w:before="40" w:after="40"/>
        <w:ind w:left="283"/>
      </w:pPr>
      <w:r>
        <w:rPr>
          <w:rFonts w:ascii="Calibri" w:hAnsi="Calibri"/>
          <w:b/>
          <w:color w:val="4A6B25"/>
          <w:sz w:val="20"/>
        </w:rPr>
        <w:t xml:space="preserve">2. </w:t>
      </w:r>
      <w:r>
        <w:rPr>
          <w:rFonts w:ascii="Calibri" w:hAnsi="Calibri"/>
          <w:b w:val="0"/>
          <w:color w:val="3A4A28"/>
          <w:sz w:val="20"/>
        </w:rPr>
        <w:t>Successful resolution of remaining state Medicaid pharmacy-benefit settlement negotiations would remove a persistent governance overhang on the stock [3]</w:t>
      </w:r>
    </w:p>
    <w:p>
      <w:pPr>
        <w:spacing w:before="40" w:after="40"/>
        <w:ind w:left="283"/>
      </w:pPr>
      <w:r>
        <w:rPr>
          <w:rFonts w:ascii="Calibri" w:hAnsi="Calibri"/>
          <w:b/>
          <w:color w:val="4A6B25"/>
          <w:sz w:val="20"/>
        </w:rPr>
        <w:t xml:space="preserve">3. </w:t>
      </w:r>
      <w:r>
        <w:rPr>
          <w:rFonts w:ascii="Calibri" w:hAnsi="Calibri"/>
          <w:b w:val="0"/>
          <w:color w:val="3A4A28"/>
          <w:sz w:val="20"/>
        </w:rPr>
        <w:t>Continued scaling of AI-enabled risk stratification (HALO) and fraud/payment-integrity tools could structurally lower the cost trend beyond the current guidance range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Medicaid eligibility redetermination and state-level funding pressure remain a structural risk given Centene's near-total dependence on government-sponsored health programs [1]</w:t>
      </w:r>
    </w:p>
    <w:p>
      <w:pPr>
        <w:spacing w:before="40" w:after="40"/>
        <w:ind w:left="283"/>
      </w:pPr>
      <w:r>
        <w:rPr>
          <w:rFonts w:ascii="Calibri" w:hAnsi="Calibri"/>
          <w:b/>
          <w:color w:val="4A6B25"/>
          <w:sz w:val="20"/>
        </w:rPr>
        <w:t xml:space="preserve">2. </w:t>
      </w:r>
      <w:r>
        <w:rPr>
          <w:rFonts w:ascii="Calibri" w:hAnsi="Calibri"/>
          <w:b w:val="0"/>
          <w:color w:val="3A4A28"/>
          <w:sz w:val="20"/>
        </w:rPr>
        <w:t>Ongoing Medicaid pharmacy-benefit litigation and unresolved state settlements (20+ states involved since 2021) create continued regulatory, reputational, and financial overhang [3]</w:t>
      </w:r>
    </w:p>
    <w:p>
      <w:pPr>
        <w:spacing w:before="40" w:after="40"/>
        <w:ind w:left="283"/>
      </w:pPr>
      <w:r>
        <w:rPr>
          <w:rFonts w:ascii="Calibri" w:hAnsi="Calibri"/>
          <w:b/>
          <w:color w:val="4A6B25"/>
          <w:sz w:val="20"/>
        </w:rPr>
        <w:t xml:space="preserve">3. </w:t>
      </w:r>
      <w:r>
        <w:rPr>
          <w:rFonts w:ascii="Calibri" w:hAnsi="Calibri"/>
          <w:b w:val="0"/>
          <w:color w:val="3A4A28"/>
          <w:sz w:val="20"/>
        </w:rPr>
        <w:t>Negative internal culture signals (Glassdoor senior-leadership warnings) alongside a still-negative TTM ROE of -20.4% suggest the turnaround is not yet fully de-risked operationally or culturally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Centene's core business — bearing Medicaid/Medicare/Marketplace insurance risk, negotiating government contracts, and managing regulated provider networks — is structurally protected from AI substitution; no analyst has flagged AI as a threat to the managed-care business model. AI is being deployed as an efficiency tool (HALO risk stratification, fraud detection, payment integrity) that could improve margins over time rather than as a competitive threat [2]. Some administrative/back-office functions face longer-term automation pressure, keeping this out of the top IMMUNE tier. AI Opportunity (0/1): Centene does not generate quantifiable AI product revenue — its AI use is internal to claims, risk, and fraud operations rather than a monetized offering, so no tiebreaker point is awarded.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Centene Corporation Reports Second Quarter 2026 Results — PRNewswire; FierceHealthcare 'Margin improvements underpin Centene's strategy for 2027 ACA plans'; ChartMill Q2 earnings summary, August 2026</w:t>
      </w:r>
    </w:p>
    <w:p>
      <w:pPr>
        <w:spacing w:before="20" w:after="20"/>
        <w:ind w:left="170"/>
      </w:pPr>
      <w:r>
        <w:rPr>
          <w:rFonts w:ascii="Calibri" w:hAnsi="Calibri"/>
          <w:b/>
          <w:color w:val="4A6B25"/>
          <w:sz w:val="15"/>
        </w:rPr>
        <w:t xml:space="preserve">2. </w:t>
      </w:r>
      <w:r>
        <w:rPr>
          <w:rFonts w:ascii="Calibri" w:hAnsi="Calibri"/>
          <w:b w:val="0"/>
          <w:color w:val="3A4A28"/>
          <w:sz w:val="17"/>
        </w:rPr>
        <w:t>BBN Times / HealthEvolution — Sarah London CEO profile, 'One CenTeam' culture; Emerj/Perspective AI — Centene AI strategy (HALO risk program, fraud detection), 2026</w:t>
      </w:r>
    </w:p>
    <w:p>
      <w:pPr>
        <w:spacing w:before="20" w:after="20"/>
        <w:ind w:left="170"/>
      </w:pPr>
      <w:r>
        <w:rPr>
          <w:rFonts w:ascii="Calibri" w:hAnsi="Calibri"/>
          <w:b/>
          <w:color w:val="4A6B25"/>
          <w:sz w:val="15"/>
        </w:rPr>
        <w:t xml:space="preserve">3. </w:t>
      </w:r>
      <w:r>
        <w:rPr>
          <w:rFonts w:ascii="Calibri" w:hAnsi="Calibri"/>
          <w:b w:val="0"/>
          <w:color w:val="3A4A28"/>
          <w:sz w:val="17"/>
        </w:rPr>
        <w:t>Healthcare Dive — Centene Medicaid pharmacy-benefit overbilling settlements with 20+ states, $1.25B reserve; KFF Health News,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CNC Key Statistics: Price $65.02, Forward P/E 13.91, PEG 0.36, D/E 0.71, ROE -20.36%, Profit Margin -2.83%,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