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CODX</w:t>
      </w:r>
      <w:r>
        <w:rPr>
          <w:rFonts w:ascii="Calibri" w:hAnsi="Calibri"/>
          <w:b/>
          <w:color w:val="1A2010"/>
          <w:sz w:val="40"/>
        </w:rPr>
        <w:t xml:space="preserve">  Co-Diagnostics, Inc.</w:t>
      </w:r>
    </w:p>
    <w:p>
      <w:pPr>
        <w:spacing w:after="120"/>
      </w:pPr>
      <w:r>
        <w:rPr>
          <w:rFonts w:ascii="Calibri" w:hAnsi="Calibri"/>
          <w:b/>
          <w:color w:val="6E8450"/>
          <w:sz w:val="18"/>
        </w:rPr>
        <w:t>GROWTH SLEEVE · 2026-07-18 · Inspire: 21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Co-Diagnostics, Inc. is a molecular diagnostics company that designs, manufactures, and markets PCR-based reagents, tests, and instruments for infectious disease detection, including COVID-19, influenza, tuberculosis, hepatitis B and C, malaria, dengue, HPV, chikungunya, and Zika virus. Its Co-Dx PCR platform targets point-of-care and at-home testing settings. Founded in 2013 and headquartered in Salt Lake City, Utah, the company also operates the CoSara joint venture pursuing PCR Pro manufacturing and TB testing opportunities in India and South Asia. Trades on NASDAQ under ticker CODX.</w:t>
      </w:r>
    </w:p>
    <w:p>
      <w:r>
        <w:rPr>
          <w:rFonts w:ascii="Calibri" w:hAnsi="Calibri"/>
          <w:b/>
          <w:color w:val="6E8450"/>
          <w:sz w:val="18"/>
        </w:rPr>
        <w:t>115 Employees · https://www.codiagnostics.com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Co-Diagnostics has pursued genuine platform pivots over the past five years — from lab-based COVID-19 PCR kits to the point-of-care Co-Dx PCR Pro instrument, and now to a CE-marked and India-focused CoSara joint venture platform — but none has replicated the commercial success of the 2021 COVID testing boom, and TTM revenue has collapsed to just $718,166, down 79.5% YoY [2][3]. AI Deployment (0/2): no evidence of AI-driven diagnostics, triage, or operational deployment with measurable results was found in earnings materials or press releases [1][2]. Market Share (0/2): Co-Diagnostics is a sub-$10M market-cap challenger competing against Abbott's ID NOW, Danaher/Cepheid's GeneXpert, and Roche's cobas Liat — multi-billion-dollar incumbents with entrenched distribution — and holds no measurable share of the point-of-care molecular diagnostics market [9]. Product Pipeline (1/2): the company has named, dated pipeline items — a Dual 510(k)/CLIA Waiver FDA submission for an upper respiratory (Flu A/Flu B/RSV) multiplex test targeted for Q3 2026 after a completed 1,400-patient clinical study, and a CoSara TB test launch in India targeted for the end of Q3 2026 following a new CDSCO manufacturing license [5][6] — but the company's history of shifting timelines and its going-concern disclosure temper confidence in on-time delivery. R&amp;D Intensity (1/1): FY2025 R&amp;D spend of $19.1M against revenue of only $0.62M is extraordinarily high on a relative basis, reflecting real, if financially unsustainable, commitment to continued product development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Co-Diagnostics' stated purpose of democratizing accurate, affordable PCR testing for underserved and low-resource populations is specific and thoughtful, and the company has backed it with real capital allocation — the CoSara joint venture's push into a $13B South Asian TB testing market, timed to updated WHO TB testing guidance, targets one of the world's leading infectious-disease killers rather than a purely profitable niche [5]. Community/Charitable Impact (1/2): the CoSara TB initiative and the company's Inspire Insight positive attribution for 'Product Access and Affordability' point to genuine accessibility intent, though no dedicated philanthropic program or measurable community-investment data was found [10]. Employee Retention (0/2): headcount has fallen from over 150 employees to 132 at year-end 2024 to 115 currently, a pattern more consistent with going-concern-driven layoffs than a stable, high-retention culture, and no independent tenure or turnover data is available [3]. Insider Buying (0/2): the only insider Form 4 activity identified in the past 12 months was CEO Dwight Egan's mandatory 'sell to cover' disposal of shares for RSU tax withholding — not an open-market purchase — and no net insider buying was found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growth-stock scheme (no dividend paid). Co-Diagnostics carries essentially no debt (D/E of 0.13%), the only metric that scores near the target [3]. Every profitability and growth metric sits at the scoring floor: return on equity of -151.7%, TTM revenue growth of -79.5% (TTM revenue fell to $718,166 from a 2021 peak of $97.9M, implying an approximate -71.8% five-year revenue CAGR), and a profit margin rendered deeply negative by a $48.5M TTM net loss against under $1M of revenue [2][3]. Forward P/E and forward PEG are not computable given the absence of positive forward earnings estimates for a loss-making micro-cap, and were excluded from the weighted calculation. The FY2025 Form 10-K discloses substantial doubt about the company's ability to continue as a going concern, with cash of $8.2M at Q1 2026 (down from $11.9M at year-end 2025) implying a burn-driven runway of roughly two to three quarters absent additional dilutive financing [2][4]. Average daily dollar volume (approximately 603,000 shares at $2.46) clears the $1M liquidity floor by a narrow margin, avoiding an automatic zero, but the stock remains an illiquid, high-risk micro-cap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Co-Diagnostics displays a genuine Just Cause — affordable PCR diagnostics access for underserved, TB-endemic populations — and real existential flexibility in pivoting its platform and geography multiple times since its COVID-era revenue peak. But the mindset is undercut by a going-concern warning, a roughly 99% five-year revenue collapse, shrinking headcount, and no evidence of the trusting-team or worthy-rival behaviors Sinek associates with durable infinite players, landing the company in MIXED territory with real risk the game ends involuntarily via insolvency rather than through principled infinite play [2][4][5].</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company's pursuit of affordable TB and respiratory diagnostics for underserved South Asian populations via the CoSara joint venture, explicitly timed to new WHO TB testing guidance, reflects a genuine service-oriented, idealistic cause beyond shareholder return [5]. However, the cause has not yet proven resilient enough to sustain the business — five consecutive years of revenue collapse and a going-concern warning suggest the mission has not translated into a durable strategic advantage [2][4].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headcount has shrunk from over 150 to 115 employees over roughly two years, consistent with repeated cost-cutting rounds; no independently verifiable evidence of psychological safety, low voluntary turnover, or empowered team structures was found in available sources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Co-Diagnostics publicly acknowledging or learning from larger rivals (Abbott, Roche/Cepheid, Danaher); public materials focus on the company's own regulatory and joint-venture milestones rather than a rivalry-driven improvement narrative [9].</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Co-Diagnostics has genuinely reinvented itself multiple times since the 2021 COVID-19 testing peak — shifting from centralized lab PCR kits to the point-of-care Co-Dx PCR Pro instrument, then to a CE-marked European strategy, and now to a CoSara joint-venture-led push into WHO-aligned TB and respiratory multiplex testing in India, a materially different geography and disease focus than its original business [5][6].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has continued to fund R&amp;D at roughly 30x its own revenue base ($19.1M spent vs. $0.62M FY2025 revenue) and pursued new geographic and disease-area bets (India TB, CoSara JV) rather than retreating to pure cash preservation, reflecting some willingness to sacrifice near-term financial safety for a longer-term mission [3][5]. But with going-concern doubt on the books, this reads as much like constrained necessity as principled long-term leadership, limiting the courage score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Co-Diagnostics is a sub-$10 million market cap molecular diagnostics company attempting to pivot from its 2021 COVID-19 testing windfall (peak revenue $97.9M) toward a point-of-care PCR platform strategy anchored by two named, dated catalysts: a Dual 510(k)/CLIA Waiver FDA submission for an upper respiratory (Flu A/Flu B/RSV) multiplex test targeted for Q3 2026, backed by a completed 1,400-patient clinical study and over 10,000 test-cup runs, and a CoSara joint-venture push into a $13B South Asian TB testing opportunity following a new CDSCO manufacturing license, timed to updated WHO TB testing guidance [1][2][5][6]. The balance sheet carries essentially no debt (D/E of 0.13%), giving the company some optionality if either catalyst converts to revenue [3].</w:t>
      </w:r>
    </w:p>
    <w:p>
      <w:pPr>
        <w:spacing w:after="120"/>
      </w:pPr>
      <w:r>
        <w:rPr>
          <w:rFonts w:ascii="Calibri" w:hAnsi="Calibri"/>
          <w:b w:val="0"/>
          <w:color w:val="3A4A28"/>
          <w:sz w:val="20"/>
        </w:rPr>
        <w:t>The bear case dominates the current picture: TTM revenue of just $718,166 is down 79.5% year-over-year and roughly 99% from the 2021 peak, against a $48.5M TTM net loss and an Altman Z-Score of -9.03 signaling severe financial distress [2][3]. The FY2025 Form 10-K discloses substantial doubt about the company's ability to continue as a going concern, and cash fell from $11.9M at year-end 2025 to $8.2M at Q1 2026 — a burn rate implying roughly two to three quarters of runway without additional financing, most likely via further dilutive equity raises under the company's ATM program [2][4]. With FDA clearance and India commercialization both still pending as of mid-2026 and a history of shifting timelines against entrenched multi-billion-dollar rivals, CODX is a binary, high-risk speculative position rather than a fundamentally sound holding [1][5][6][9].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Dual 510(k) and CLIA Waiver submission for the upper respiratory (Flu A/Flu B/RSV) multiplex point-of-care test targeted for Q3 2026, following completion of a 1,400-patient clinical study and 27 analytical studies</w:t>
      </w:r>
    </w:p>
    <w:p>
      <w:pPr>
        <w:spacing w:before="40" w:after="40"/>
        <w:ind w:left="283"/>
      </w:pPr>
      <w:r>
        <w:rPr>
          <w:rFonts w:ascii="Calibri" w:hAnsi="Calibri"/>
          <w:b/>
          <w:color w:val="4A6B25"/>
          <w:sz w:val="20"/>
        </w:rPr>
        <w:t xml:space="preserve">2. </w:t>
      </w:r>
      <w:r>
        <w:rPr>
          <w:rFonts w:ascii="Calibri" w:hAnsi="Calibri"/>
          <w:b w:val="0"/>
          <w:color w:val="3A4A28"/>
          <w:sz w:val="20"/>
        </w:rPr>
        <w:t>CoSara joint venture's TB test commercial launch in India targeted by the end of Q3 2026, addressing a $13B South Asian addressable market under a newly obtained CDSCO manufacturing license and aligned with updated WHO TB testing guidance</w:t>
      </w:r>
    </w:p>
    <w:p>
      <w:pPr>
        <w:spacing w:before="40" w:after="40"/>
        <w:ind w:left="283"/>
      </w:pPr>
      <w:r>
        <w:rPr>
          <w:rFonts w:ascii="Calibri" w:hAnsi="Calibri"/>
          <w:b/>
          <w:color w:val="4A6B25"/>
          <w:sz w:val="20"/>
        </w:rPr>
        <w:t xml:space="preserve">3. </w:t>
      </w:r>
      <w:r>
        <w:rPr>
          <w:rFonts w:ascii="Calibri" w:hAnsi="Calibri"/>
          <w:b w:val="0"/>
          <w:color w:val="3A4A28"/>
          <w:sz w:val="20"/>
        </w:rPr>
        <w:t>Potential inflection in point-of-care PCR Pro instrument placements as CE-marked European distribution and the India CDSCO license open new commercial channels beyond the collapsed U.S. COVID-testing revenue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doubt disclosed in the FY2025 10-K, with cash down to $8.2M at Q1 2026 from $11.9M at year-end 2025 — a burn rate implying roughly two to three quarters of runway and a high likelihood of further shareholder-dilutive equity raises</w:t>
      </w:r>
    </w:p>
    <w:p>
      <w:pPr>
        <w:spacing w:before="40" w:after="40"/>
        <w:ind w:left="283"/>
      </w:pPr>
      <w:r>
        <w:rPr>
          <w:rFonts w:ascii="Calibri" w:hAnsi="Calibri"/>
          <w:b/>
          <w:color w:val="4A6B25"/>
          <w:sz w:val="20"/>
        </w:rPr>
        <w:t xml:space="preserve">2. </w:t>
      </w:r>
      <w:r>
        <w:rPr>
          <w:rFonts w:ascii="Calibri" w:hAnsi="Calibri"/>
          <w:b w:val="0"/>
          <w:color w:val="3A4A28"/>
          <w:sz w:val="20"/>
        </w:rPr>
        <w:t>TTM revenue of $718,166 (down 79.5% YoY, down roughly 99% from the 2021 peak) against a $48.5M TTM net loss and an Altman Z-Score of -9.03 indicate the core business has not found commercial traction outside the one-time COVID-19 testing cycle</w:t>
      </w:r>
    </w:p>
    <w:p>
      <w:pPr>
        <w:spacing w:before="40" w:after="40"/>
        <w:ind w:left="283"/>
      </w:pPr>
      <w:r>
        <w:rPr>
          <w:rFonts w:ascii="Calibri" w:hAnsi="Calibri"/>
          <w:b/>
          <w:color w:val="4A6B25"/>
          <w:sz w:val="20"/>
        </w:rPr>
        <w:t xml:space="preserve">3. </w:t>
      </w:r>
      <w:r>
        <w:rPr>
          <w:rFonts w:ascii="Calibri" w:hAnsi="Calibri"/>
          <w:b w:val="0"/>
          <w:color w:val="3A4A28"/>
          <w:sz w:val="20"/>
        </w:rPr>
        <w:t>Both near-term catalysts — FDA clearance for the respiratory multiplex test and the India TB launch — remain unapproved or unlaunched as of mid-2026 and face entrenched, multi-billion-dollar incumbents (Abbott, Roche/Cepheid, Danaher) in point-of-care molecular diagnostics, leaving execution risk high and a real possibility of continued timeline slippage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Co-Diagnostics' core business — physical PCR reagent chemistry, hardware manufacturing, and FDA/CDSCO regulatory clearance — is structurally difficult for AI to disintermediate; no analyst commentary was found suggesting generative AI threatens point-of-care molecular diagnostics demand, and the WHO-guidance-driven TB and respiratory multiplex opportunities are physical-world, regulatory-gated markets [5][6][9]. However, the company's near-term survival risk (going-concern doubt, sub-$1M TTM revenue) makes the AI-disruption question largely secondary to solvency risk, and no company-specific analyst research on AI exposure was located, so the score reflects industry-structural protection rather than confirmed analyst validation [4]. AI Opportunity (0/1): no AI-enabled product, AI-augmented diagnostics workflow, or AI-attributable revenue was identified in any earnings materials or press releases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Co-Diagnostics (CODX) Q1 2026 Earnings Call Transcript — The Motley Fool / Benzinga, May 14-15, 2026</w:t>
      </w:r>
    </w:p>
    <w:p>
      <w:pPr>
        <w:spacing w:before="20" w:after="20"/>
        <w:ind w:left="170"/>
      </w:pPr>
      <w:r>
        <w:rPr>
          <w:rFonts w:ascii="Calibri" w:hAnsi="Calibri"/>
          <w:b/>
          <w:color w:val="4A6B25"/>
          <w:sz w:val="15"/>
        </w:rPr>
        <w:t xml:space="preserve">2. </w:t>
      </w:r>
      <w:r>
        <w:rPr>
          <w:rFonts w:ascii="Calibri" w:hAnsi="Calibri"/>
          <w:b w:val="0"/>
          <w:color w:val="3A4A28"/>
          <w:sz w:val="17"/>
        </w:rPr>
        <w:t>Co-Diagnostics Reports First Quarter 2026 Financial Results — PRNewswire / Morningstar, May 14, 2026</w:t>
      </w:r>
    </w:p>
    <w:p>
      <w:pPr>
        <w:spacing w:before="20" w:after="20"/>
        <w:ind w:left="170"/>
      </w:pPr>
      <w:r>
        <w:rPr>
          <w:rFonts w:ascii="Calibri" w:hAnsi="Calibri"/>
          <w:b/>
          <w:color w:val="4A6B25"/>
          <w:sz w:val="15"/>
        </w:rPr>
        <w:t xml:space="preserve">3. </w:t>
      </w:r>
      <w:r>
        <w:rPr>
          <w:rFonts w:ascii="Calibri" w:hAnsi="Calibri"/>
          <w:b w:val="0"/>
          <w:color w:val="3A4A28"/>
          <w:sz w:val="17"/>
        </w:rPr>
        <w:t>Co-Diagnostics (CODX) Key Statistics, Financials, and Employee Data — StockAnalysis.com,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Co-Diagnostics FY2025 Form 10-K — Going Concern Disclosure and Liquidity Discussion, SEC filing via StockTitan, 2026</w:t>
      </w:r>
    </w:p>
    <w:p>
      <w:pPr>
        <w:spacing w:before="20" w:after="20"/>
        <w:ind w:left="170"/>
      </w:pPr>
      <w:r>
        <w:rPr>
          <w:rFonts w:ascii="Calibri" w:hAnsi="Calibri"/>
          <w:b/>
          <w:color w:val="4A6B25"/>
          <w:sz w:val="15"/>
        </w:rPr>
        <w:t xml:space="preserve">5. </w:t>
      </w:r>
      <w:r>
        <w:rPr>
          <w:rFonts w:ascii="Calibri" w:hAnsi="Calibri"/>
          <w:b w:val="0"/>
          <w:color w:val="3A4A28"/>
          <w:sz w:val="17"/>
        </w:rPr>
        <w:t>Co-Diagnostics Reaches Regulatory Milestone for PCR Respiratory Test Platform (CoSara CDSCO License) — Benzinga, July 2026</w:t>
      </w:r>
    </w:p>
    <w:p>
      <w:pPr>
        <w:spacing w:before="20" w:after="20"/>
        <w:ind w:left="170"/>
      </w:pPr>
      <w:r>
        <w:rPr>
          <w:rFonts w:ascii="Calibri" w:hAnsi="Calibri"/>
          <w:b/>
          <w:color w:val="4A6B25"/>
          <w:sz w:val="15"/>
        </w:rPr>
        <w:t xml:space="preserve">6. </w:t>
      </w:r>
      <w:r>
        <w:rPr>
          <w:rFonts w:ascii="Calibri" w:hAnsi="Calibri"/>
          <w:b w:val="0"/>
          <w:color w:val="3A4A28"/>
          <w:sz w:val="17"/>
        </w:rPr>
        <w:t>Co-Diagnostics Initiates Clinical Evaluations for Upper Respiratory Multiplex Point-of-Care Test to Support FDA Submission — PRNewswire, 2026</w:t>
      </w:r>
    </w:p>
    <w:p>
      <w:pPr>
        <w:spacing w:before="20" w:after="20"/>
        <w:ind w:left="170"/>
      </w:pPr>
      <w:r>
        <w:rPr>
          <w:rFonts w:ascii="Calibri" w:hAnsi="Calibri"/>
          <w:b/>
          <w:color w:val="4A6B25"/>
          <w:sz w:val="15"/>
        </w:rPr>
        <w:t xml:space="preserve">7. </w:t>
      </w:r>
      <w:r>
        <w:rPr>
          <w:rFonts w:ascii="Calibri" w:hAnsi="Calibri"/>
          <w:b w:val="0"/>
          <w:color w:val="3A4A28"/>
          <w:sz w:val="17"/>
        </w:rPr>
        <w:t>Dwight H. Egan Form 4 Insider Trading Filing — StockTitan / SEC EDGAR, May 2026</w:t>
      </w:r>
    </w:p>
    <w:p>
      <w:pPr>
        <w:spacing w:before="20" w:after="20"/>
        <w:ind w:left="170"/>
      </w:pPr>
      <w:r>
        <w:rPr>
          <w:rFonts w:ascii="Calibri" w:hAnsi="Calibri"/>
          <w:b/>
          <w:color w:val="4A6B25"/>
          <w:sz w:val="15"/>
        </w:rPr>
        <w:t xml:space="preserve">8. </w:t>
      </w:r>
      <w:r>
        <w:rPr>
          <w:rFonts w:ascii="Calibri" w:hAnsi="Calibri"/>
          <w:b w:val="0"/>
          <w:color w:val="3A4A28"/>
          <w:sz w:val="17"/>
        </w:rPr>
        <w:t>Co-Diagnostics, Inc. SWOT Analysis — dcfmodeling.com, April 2026</w:t>
      </w:r>
    </w:p>
    <w:p>
      <w:pPr>
        <w:spacing w:before="20" w:after="20"/>
        <w:ind w:left="170"/>
      </w:pPr>
      <w:r>
        <w:rPr>
          <w:rFonts w:ascii="Calibri" w:hAnsi="Calibri"/>
          <w:b/>
          <w:color w:val="4A6B25"/>
          <w:sz w:val="15"/>
        </w:rPr>
        <w:t xml:space="preserve">9. </w:t>
      </w:r>
      <w:r>
        <w:rPr>
          <w:rFonts w:ascii="Calibri" w:hAnsi="Calibri"/>
          <w:b w:val="0"/>
          <w:color w:val="3A4A28"/>
          <w:sz w:val="17"/>
        </w:rPr>
        <w:t>Point-of-Care Molecular Diagnostics Competitive Landscape (Abbott, Roche/Cepheid, Danaher) — MarketsandMarkets, Grand View Research, 2026</w:t>
      </w:r>
    </w:p>
    <w:p>
      <w:pPr>
        <w:spacing w:before="20" w:after="20"/>
        <w:ind w:left="170"/>
      </w:pPr>
      <w:r>
        <w:rPr>
          <w:rFonts w:ascii="Calibri" w:hAnsi="Calibri"/>
          <w:b/>
          <w:color w:val="4A6B25"/>
          <w:sz w:val="15"/>
        </w:rPr>
        <w:t xml:space="preserve">10. </w:t>
      </w:r>
      <w:r>
        <w:rPr>
          <w:rFonts w:ascii="Calibri" w:hAnsi="Calibri"/>
          <w:b w:val="0"/>
          <w:color w:val="3A4A28"/>
          <w:sz w:val="17"/>
        </w:rPr>
        <w:t>Inspire Insight Faith-Based Impact Score — CODX, data/inspire_insight_scores.csv</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