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COLB</w:t>
      </w:r>
      <w:r>
        <w:rPr>
          <w:rFonts w:ascii="Calibri" w:hAnsi="Calibri"/>
          <w:b/>
          <w:color w:val="1A2010"/>
          <w:sz w:val="40"/>
        </w:rPr>
        <w:t xml:space="preserve">  Columbia Banking System, Inc.</w:t>
      </w:r>
    </w:p>
    <w:p>
      <w:pPr>
        <w:spacing w:after="120"/>
      </w:pPr>
      <w:r>
        <w:rPr>
          <w:rFonts w:ascii="Calibri" w:hAnsi="Calibri"/>
          <w:b/>
          <w:color w:val="6E8450"/>
          <w:sz w:val="18"/>
        </w:rPr>
        <w:t>DIVIDEND SLEEVE · 2026-07-10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Columbia Banking System, Inc. is the holding company for Columbia Bank, a Washington state-chartered full-service commercial bank with approximately $66 billion in total assets following transformative mergers with Umpqua Holdings (2023) and Pacific Premier Bancorp. Columbia operates locations throughout Washington, Oregon, Idaho, California, Nevada, and Arizona, providing commercial lending, consumer banking, and wealth management services. Headquartered in Tacoma, Washington.</w:t>
      </w:r>
    </w:p>
    <w:p>
      <w:r>
        <w:rPr>
          <w:rFonts w:ascii="Calibri" w:hAnsi="Calibri"/>
          <w:b/>
          <w:color w:val="6E8450"/>
          <w:sz w:val="18"/>
        </w:rPr>
        <w:t>8,000 Employees · https://www.columbiabank.com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Columbia has grown through strategic M&amp;A, most notably the Umpqua Holdings merger in 2023 that transformed the company from a mid-size Pacific Northwest community bank to a $66B-asset regional institution, but M&amp;A integration is operational execution, not product or business model innovation [1]. AI Deployment (0/2): No evidence of AI-powered banking products, quantified AI-driven cost savings, or customer-facing AI tools. The company references a 'digital roadmap' but provides no specifics on AI deployment or measurable results [3]. Market Share (1/2): Post-merger, Columbia is one of the largest community-oriented banks in the western United States with $66B in assets, $53.5B in deposits, and $47.7B in loans, holding a significant presence across six western states [1]. Product Pipeline (0/2): No evidence of next-generation banking products, fintech partnerships, or specific digital innovation initiatives with named products and timelines. R&amp;D Intensity (0/1): Banks do not report R&amp;D spending. Columbia's technology investment is embedded in operating expenses with no separate disclosure or evidence of above-average technology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Columbia Bank's purpose is to 'Do RIGHT by employees, clients, communities and shareholders' — a values-driven framework that identifies stakeholders and articulates a standard of conduct. It is clear but not distinctive among community banks; many peers use similar stakeholder-centric language [4]. Community Impact (1/2): Columbia's ESG Working Group under Board oversight advances environmental, social, and governance principles, and the bank has a community banking heritage focused on local economic development. However, specific charitable dollar amounts, foundation activities, or measurable community programs are not prominently disclosed [4]. Employee Retention (1/2): CEO Clint Stein's 14-year tenure at Columbia and promotion to Board Chair in January 2026 demonstrates leadership continuity and commitment to culture [3]. A dedicated employee experience team focused on culture, diversity, inclusivity, and social responsibility signals investment in organizational trust. However, no specific turnover or tenure data is publicly available. Insider Buying (0/2): No evidence of meaningful net insider buying by CEO Clint Stein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Dividend weights with D/E excluded (not meaningful for banks, shown as null on financial data providers). Q1 2026 delivered $677M total revenue with $192M net income ($0.66 EPS), 10% ROE, 3.96% net interest margin, and 28.4% profit margin [1]. Revenue growth of approximately 40% YoY and strong 5-year CAGR (M&amp;A-driven) both score at maximum. Forward PE of approximately 10x and profit margin of 28.4% also score at maximum. Dividend metrics are mixed: 23 consecutive years of payment (maximum) and adequate payout ratio of 57.2% (71% of target), but only 4 consecutive years of dividend growth (40% of target) and 3.9% 5-year dividend growth CAGR (65% of target) drag the score below maximum [5]. CET1 ratio of 11.5% and total risk-based capital of 13.3% demonstrate strong regulatory capitalization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Columbia Banking System under CEO Clint Stein has executed an aggressive M&amp;A-driven growth strategy that transformed the company from a small community bank to a $66B regional institution in just a few years. While the 'Do RIGHT' values framework and Stein's 14-year tenure suggest genuine organizational commitment, the rapid acquisition-driven growth, share buybacks ($200M in Q1 2026), and focus on ROTCE metrics reflect finite game optimization — playing to win the next quarter rather than building for decades of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Columbia's 'Do RIGHT by employees, clients, communities and shareholders' framework is values-driven but reads as a stakeholder management philosophy rather than a Just Cause that describes a future state so appealing people sacrifice to advance it. The purpose does not differentiate Columbia from hundreds of other community banks with similar stakeholder commitments. Sinek would look for evidence that this purpose drove specific strategic decisions — the M&amp;A strategy appears driven by scale economics and shareholder returns, not by the 'Do RIGHT' framework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Clint Stein's 14-year tenure and elevation to Board Chair in January 2026 signals organizational stability and internal trust in leadership [3]. The dedicated employee experience team focused on culture, diversity, inclusivity, and social responsibility indicates management investment in psychological safety. However, rapid growth through major acquisitions inherently creates cultural integration challenges, and no specific employee satisfaction data is available to confirm trust levels across the combined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Columbia competes with US Bancorp, Banner Financial, and other Pacific Northwest and western regional banks. No evidence of management framing competitors as worthy rivals whose strengths inspire improvement. Competitive language focuses on market share growth, deal execution, and financial performance metrics rather than learning from peers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Columbia has evolved from a small Pacific Northwest community bank into a $66B multi-state regional banking institution through transformative M&amp;A, which represents significant business model evolution [1]. However, the core business model remains unchanged — commercial banking with deposits, loans, and fee income. The transformation was in scale, not in kind. The company has not fundamentally reimagined what it does; it does the same thing in more places and at greater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Umpqua Holdings merger and subsequent acquisitions required significant leadership conviction — integrating a bank of equal size carries substantial execution and cultural risk. CEO Clint Stein bet the company's future on large-scale M&amp;A rather than slow organic growth, accepting near-term integration costs and earnings dilution for long-term scale advantages [1][3]. However, scale-driven M&amp;A is a well-understood playbook in banking, not a contrarian or costly bet in the Sinek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Columbia Banking System delivered strong Q1 2026 results with $677M total revenue, $192M net income ($0.66 EPS, up 61% YoY), 10% ROE, and 3.96% net interest margin, reflecting the full benefit of transformative M&amp;A that grew the bank to $66B in assets [1]. At approximately 10x forward earnings with a 4.98% dividend yield, COLB offers compelling income value for dividend investors, supported by 23 consecutive years of dividend payment, strong regulatory capitalization (CET1 11.5%), and new loan origination volume up 38% YoY to $1.2B [1]. The $200M share repurchase in Q1 2026 at an average price of $30.74 signals management confidence in intrinsic value [1].</w:t>
      </w:r>
    </w:p>
    <w:p>
      <w:pPr>
        <w:spacing w:after="120"/>
      </w:pPr>
      <w:r>
        <w:rPr>
          <w:rFonts w:ascii="Calibri" w:hAnsi="Calibri"/>
          <w:b w:val="0"/>
          <w:color w:val="3A4A28"/>
          <w:sz w:val="20"/>
        </w:rPr>
        <w:t>The bear case centers on integration execution and credit quality risks. The rapid M&amp;A-driven growth has created a $66B institution that must integrate multiple bank cultures and technology platforms, with efficiency ratio of 58% leaving room for improvement but also reflecting integration costs [1]. Non-performing assets of $264M (0.40% of total assets) and net charge-offs of 0.30% are manageable but bear monitoring as the commercial real estate portfolio seasons in a higher-rate environment. The 5-year revenue CAGR of ~43% is entirely M&amp;A-driven, masking organic growth that is likely low-single-digit [5]. Dividend growth has been modest — only 4 consecutive years of increases at 3.9% 5-year CAGR, below inflation-adjusted targets — and the 57.2% payout ratio limits reinvestment flexibility compared to more capital-efficient peers [5]. ROE of 10% is respectable but below the 15% target, reflecting the goodwill-laden balance sheet from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post-merger integration driving operating leverage — efficiency ratio improvement from 58% toward peer levels of 50-55% would meaningfully expand net income and ROE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if the Fed holds rates steady, benefiting Columbia's asset-sensitive balance sheet with $47.7B in loans repricing at current rates [1]</w:t>
      </w:r>
    </w:p>
    <w:p>
      <w:pPr>
        <w:spacing w:before="40" w:after="40"/>
        <w:ind w:left="283"/>
      </w:pPr>
      <w:r>
        <w:rPr>
          <w:rFonts w:ascii="Calibri" w:hAnsi="Calibri"/>
          <w:b/>
          <w:color w:val="4A6B25"/>
          <w:sz w:val="20"/>
        </w:rPr>
        <w:t xml:space="preserve">3. </w:t>
      </w:r>
      <w:r>
        <w:rPr>
          <w:rFonts w:ascii="Calibri" w:hAnsi="Calibri"/>
          <w:b w:val="0"/>
          <w:color w:val="3A4A28"/>
          <w:sz w:val="20"/>
        </w:rPr>
        <w:t>New loan origination volume growth (up 38% YoY to $1.2B in Q1 2026) driving organic earning asset expansion beyond the M&amp;A-driven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concentration risk as the combined loan portfolio seasons in a higher-rate environment, with non-performing assets of $264M and net charge-offs at 0.30% potentially rising [1]</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from rapid M&amp;A-driven growth — combining multiple bank cultures, technology platforms, and customer relationships across six western states creates operational complexity [1]</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likely low-single-digit beneath the M&amp;A-inflated 40% headline number, raising questions about whether the franchise can generate sustainable growth once the acquisition pipeline slows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Columbia Bank's core business — commercial lending, deposit-gathering, and relationship banking — operates within a heavily regulated framework that requires banking licenses, FDIC insurance, and ongoing regulatory compliance that AI cannot replicate or bypass [1]. Physical branch networks, face-to-face commercial lending relationships, and fiduciary wealth management create natural moats. AI cannot hold a banking charter, accept insured deposits, or underwrite commercial real estate loans. Some back-office and consumer-facing functions (customer service, fraud detection, underwriting automation) face AI efficiency pressure, but these enhance rather than replace the banking model. AI Opportunity (0/1): No evidence of AI-powered revenue generation. Columbia references a digital roadmap but has not deployed AI products or reported AI-driven cost savings [3]. The bank's technology adoption appears to be standard for the regional banking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Columbia Banking System Q1 2026 Earnings Release — prnewswire.com, April 23, 2026</w:t>
      </w:r>
    </w:p>
    <w:p>
      <w:pPr>
        <w:spacing w:before="20" w:after="20"/>
        <w:ind w:left="170"/>
      </w:pPr>
      <w:r>
        <w:rPr>
          <w:rFonts w:ascii="Calibri" w:hAnsi="Calibri"/>
          <w:b/>
          <w:color w:val="4A6B25"/>
          <w:sz w:val="15"/>
        </w:rPr>
        <w:t xml:space="preserve">2. </w:t>
      </w:r>
      <w:r>
        <w:rPr>
          <w:rFonts w:ascii="Calibri" w:hAnsi="Calibri"/>
          <w:b w:val="0"/>
          <w:color w:val="3A4A28"/>
          <w:sz w:val="17"/>
        </w:rPr>
        <w:t>Columbia Banking System Q1 2026 Earnings Call Transcript — Motley Fool, April 23, 2026</w:t>
      </w:r>
    </w:p>
    <w:p>
      <w:pPr>
        <w:spacing w:before="20" w:after="20"/>
        <w:ind w:left="170"/>
      </w:pPr>
      <w:r>
        <w:rPr>
          <w:rFonts w:ascii="Calibri" w:hAnsi="Calibri"/>
          <w:b/>
          <w:color w:val="4A6B25"/>
          <w:sz w:val="15"/>
        </w:rPr>
        <w:t xml:space="preserve">3. </w:t>
      </w:r>
      <w:r>
        <w:rPr>
          <w:rFonts w:ascii="Calibri" w:hAnsi="Calibri"/>
          <w:b w:val="0"/>
          <w:color w:val="3A4A28"/>
          <w:sz w:val="17"/>
        </w:rPr>
        <w:t>Clint Stein Elected Board Chair of Columbia Banking System — columbiabankingsystem.com, January 2026</w:t>
      </w:r>
    </w:p>
    <w:p>
      <w:pPr>
        <w:spacing w:before="20" w:after="20"/>
        <w:ind w:left="170"/>
      </w:pPr>
      <w:r>
        <w:rPr>
          <w:rFonts w:ascii="Calibri" w:hAnsi="Calibri"/>
          <w:b/>
          <w:color w:val="4A6B25"/>
          <w:sz w:val="15"/>
        </w:rPr>
        <w:t xml:space="preserve">4. </w:t>
      </w:r>
      <w:r>
        <w:rPr>
          <w:rFonts w:ascii="Calibri" w:hAnsi="Calibri"/>
          <w:b w:val="0"/>
          <w:color w:val="3A4A28"/>
          <w:sz w:val="17"/>
        </w:rPr>
        <w:t>Columbia Banking System ESG Overview and Corporate Responsibility — investors.columbiabank.com</w:t>
      </w:r>
    </w:p>
    <w:p>
      <w:pPr>
        <w:spacing w:before="20" w:after="20"/>
        <w:ind w:left="170"/>
      </w:pPr>
      <w:r>
        <w:rPr>
          <w:rFonts w:ascii="Calibri" w:hAnsi="Calibri"/>
          <w:b/>
          <w:color w:val="4A6B25"/>
          <w:sz w:val="15"/>
        </w:rPr>
        <w:t xml:space="preserve">5. </w:t>
      </w:r>
      <w:r>
        <w:rPr>
          <w:rFonts w:ascii="Calibri" w:hAnsi="Calibri"/>
          <w:b w:val="0"/>
          <w:color w:val="3A4A28"/>
          <w:sz w:val="17"/>
        </w:rPr>
        <w:t>Simply Wall St — COLB Dividend History and Financial Analysis,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COLB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