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COO</w:t>
      </w:r>
      <w:r>
        <w:rPr>
          <w:rFonts w:ascii="Calibri" w:hAnsi="Calibri"/>
          <w:b/>
          <w:color w:val="1A2010"/>
          <w:sz w:val="40"/>
        </w:rPr>
        <w:t xml:space="preserve">  The Cooper Companies, Inc.</w:t>
      </w:r>
    </w:p>
    <w:p>
      <w:pPr>
        <w:spacing w:after="120"/>
      </w:pPr>
      <w:r>
        <w:rPr>
          <w:rFonts w:ascii="Calibri" w:hAnsi="Calibri"/>
          <w:b/>
          <w:color w:val="6E8450"/>
          <w:sz w:val="18"/>
        </w:rPr>
        <w:t>GROWTH SLEEVE · 2026-07-19 · Inspire: -82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The Cooper Companies operates through two segments: CooperVision, the world's #1 contact lens company by wearers, and CooperSurgical, a global leader in fertility (IVF/assisted reproduction) devices and women's health products. Founded in 1980, headquartered in San Ramon, California, Cooper is a specialty medical device company focused on vision correction, myopia management, and reproductive health.</w:t>
      </w:r>
    </w:p>
    <w:p>
      <w:r>
        <w:rPr>
          <w:rFonts w:ascii="Calibri" w:hAnsi="Calibri"/>
          <w:b/>
          <w:color w:val="6E8450"/>
          <w:sz w:val="18"/>
        </w:rPr>
        <w:t>15,000 Employees · https://www.coopercos.com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CooperVision holds the #1 global position by contact lens wearers and CooperSurgical is the global leader in fertility devices; the MiSight 1 day myopia-control lens (FDA-approved to slow progression in children 8-12) completed global enrollment of post-approval studies spanning 100+ clinical sites and 3,000+ children [1][5]. AI Deployment (1/2): AI and automation are used internally across forecasting, marketing and shared services to support margin expansion, and a 2025 Ocumetra partnership shipped the mEYE Gauge machine-learning tool to estimate ocular axial length for myopia risk without biometry equipment, though no COO-specific AI product revenue has been quantified [5]. Market Share (2/2): CooperVision is the world's #1 contact lens company by wearers and CooperSurgical is the global fertility-device leader, both cited with specific category-leading positions [1]. Product Pipeline (1/2): FY2026 revenue guidance was raised to $4.28-4.32B (5-6% reported growth) on continued myopia-management momentum, though specific next-generation product timelines beyond MiSight expansion were not disclosed [2]. R&amp;D Intensity (0/1): No R&amp;D-as-%-of-revenue data relative to medtech peers was found in available disclosures.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Cooper's mission — 'people helping people, applying our collective knowledge, experience and talents to improve lives, one person at a time' — is specific and thoughtful, connecting CooperVision's vision correction and CooperSurgical's fertility products to a differentiated purpose beyond generic medtech taglines [6]. Community Impact (1/2): CooperCompanies has published annual ESG reports since 2022 highlighting GHG reductions and expanded access to myopia management in underserved markets, though no specific large-dollar community investment program was identified. Employee Retention (0/2): Glassdoor reviews are mixed, with recurring complaints about senior management accessibility and workplace dynamics; no standout tenure or low-turnover data was found [6]. Insider Buying (2/2): CEO Al White and multiple executives/directors bought shares in December 2025 near multi-year lows and again ahead of the March 5, 2026 earnings release — a specific, recent signal of leadership conviction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D/E of 29.9% is well inside the 70% target, reflecting a conservative balance sheet [3]. ROE of 4.87% sits well below the 15% target, dragged by GAAP EPS that fell 42.8% YoY on one-time items even as non-GAAP EPS rose 26% in Q2 FY2026 [1][3]. Revenue grew 8% YoY in Q2 FY2026 against an approximate 8.8% four-year revenue CAGR ($2.92B FY2021 to $4.09B FY2025), both near the 10% target [1]. Forward P/E of 15.1 and forward PEG of 0.67 are comfortably inside the 20 and 1.0 targets despite a stretched 60.5x trailing P/E, reflecting reasonable growth-adjusted valuation [3][4]. Profit margin of 9.67% (most recent quarter) trails the 20% target, reflecting pressure from litigation payouts and CooperSurgical-related costs [3]. Liquidity is not a constraint: avg. daily volume of 1.67M shares at $71.71 implies ~$120M in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Cooper Companies shows a MIXED infinite-game profile. The 'people helping people' mission has genuinely shaped strategy — building CooperVision into the global #1 contact lens franchise and CooperSurgical into a fertility-care leader — and recent insider buying signals real leadership conviction. But reported 2026 talks to divest CooperSurgical, arguably the most mission-central segment, alongside mixed Glassdoor sentiment on management accessibility, suggest the purpose is not yet fully insulated from shorter-term capital-allocation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'people helping people' mission has driven real strategic choices — continued investment in pediatric myopia management (a category with modest near-term returns but long-term vision-health impact) and building CooperSurgical into a global fertility leader [1][5]. However, reported 2026 talks to sell CooperSurgical — arguably the segment most central to 'helping people fulfill their dreams of having children' — for value realization creates tension between the stated cause and shareholder-value optimization, keeping this below the top tier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an operationally stable 15,000-employee organization, but recurring complaints about senior management accessibility and workplace dynamics indicate the culture falls short of a standout high-trust environment [6].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Cooper management publicly acknowledging competitor strengths (e.g., Alcon, Johnson &amp; Johnson Vision, Bausch + Lomb) as motivation for self-improvement; competitive positioning is described primarily in share-leadership terms rather than a learning-oriented rivalry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Cooper has evolved over decades from a diversified medical device conglomerate into a focused two-segment leader in vision care and fertility, and is reportedly now evaluating a sale of CooperSurgical that would further reshape the business [2]. This is meaningful portfolio evolution but not a transformative, cause-driven reinvention on the scale of an industry-redefining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Insider buying by CEO Al White and multiple executives in December 2025 and again ahead of March 2026 earnings, at a multi-year stock low, signals leadership conviction and personal capital behind the long-term story [7]. Continued R&amp;D investment in myopia management despite reimbursement and insurance headwinds shows some willingness to fund long-cycle bets, though no clear example of sacrificing near-term earnings for a costly principled stance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Cooper Companies delivered record Q2 FY2026 revenue of $1.082B (up 8% YoY, 5% organic) with non-GAAP EPS up 26% to $1.21, and management raised FY2026 revenue guidance to $4.28-4.32B alongside a raised free cash flow outlook of ~$650M [1][2]. CooperVision's myopia-management franchise (MiSight) continues to scale with a completed 3,000+ child global post-approval study, while CooperSurgical remains the global fertility-device leader [5]. Insider buying by CEO Al White and multiple executives in December 2025 and ahead of March 2026 earnings signals leadership conviction at depressed valuations, and the balance sheet is conservative (D/E of 29.9%) with a growth-adjusted valuation (forward PEG 0.67) that appears reasonable relative to guided growth [3][7].</w:t>
      </w:r>
    </w:p>
    <w:p>
      <w:pPr>
        <w:spacing w:after="120"/>
      </w:pPr>
      <w:r>
        <w:rPr>
          <w:rFonts w:ascii="Calibri" w:hAnsi="Calibri"/>
          <w:b w:val="0"/>
          <w:color w:val="3A4A28"/>
          <w:sz w:val="20"/>
        </w:rPr>
        <w:t>The primary overhang is capital-allocation uncertainty: reported 2026 discussions around a potential CooperSurgical divestiture — the mission-central fertility segment — create both an unlock catalyst (Stifel reiterated Buy on the sale talks) and strategic-identity risk if the company narrows to a single-segment lens business [2]. GAAP EPS fell 42.8% YoY on one-time items, ROE of 4.87% and profit margin of 9.67% remain well below Infrastructure targets, and the stock carries no dividend, meaning total return depends entirely on execution of the myopia-management and fertility growth stories [3]. Glassdoor feedback citing senior-management accessibility issues, combined with no meaningful AI Opportunity revenue disclosed, are secondary but real watch items.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reported CooperSurgical sale talks — a divestiture at an attractive multiple could unlock value and let CooperVision's myopia-management franchise re-rate as a focused, higher-growth pure play [2]</w:t>
      </w:r>
    </w:p>
    <w:p>
      <w:pPr>
        <w:spacing w:before="40" w:after="40"/>
        <w:ind w:left="283"/>
      </w:pPr>
      <w:r>
        <w:rPr>
          <w:rFonts w:ascii="Calibri" w:hAnsi="Calibri"/>
          <w:b/>
          <w:color w:val="4A6B25"/>
          <w:sz w:val="20"/>
        </w:rPr>
        <w:t xml:space="preserve">2. </w:t>
      </w:r>
      <w:r>
        <w:rPr>
          <w:rFonts w:ascii="Calibri" w:hAnsi="Calibri"/>
          <w:b w:val="0"/>
          <w:color w:val="3A4A28"/>
          <w:sz w:val="20"/>
        </w:rPr>
        <w:t>Continued scaling of MiSight and next-generation myopia-control lenses following completion of the world's largest pediatric myopia post-approval clinical study, supporting above-guidance organic growth [5]</w:t>
      </w:r>
    </w:p>
    <w:p>
      <w:pPr>
        <w:spacing w:before="40" w:after="40"/>
        <w:ind w:left="283"/>
      </w:pPr>
      <w:r>
        <w:rPr>
          <w:rFonts w:ascii="Calibri" w:hAnsi="Calibri"/>
          <w:b/>
          <w:color w:val="4A6B25"/>
          <w:sz w:val="20"/>
        </w:rPr>
        <w:t xml:space="preserve">3. </w:t>
      </w:r>
      <w:r>
        <w:rPr>
          <w:rFonts w:ascii="Calibri" w:hAnsi="Calibri"/>
          <w:b w:val="0"/>
          <w:color w:val="3A4A28"/>
          <w:sz w:val="20"/>
        </w:rPr>
        <w:t>Margin recovery toward the 20% Infrastructure profit-margin target as litigation payouts roll off during FY2026 and free cash flow guidance of ~$650M is realized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EPS declined 42.8% YoY and ROE of 4.87% remains far below the 15% Infrastructure target, indicating profitability has not kept pace with revenue growth despite raised guidance [1][3]</w:t>
      </w:r>
    </w:p>
    <w:p>
      <w:pPr>
        <w:spacing w:before="40" w:after="40"/>
        <w:ind w:left="283"/>
      </w:pPr>
      <w:r>
        <w:rPr>
          <w:rFonts w:ascii="Calibri" w:hAnsi="Calibri"/>
          <w:b/>
          <w:color w:val="4A6B25"/>
          <w:sz w:val="20"/>
        </w:rPr>
        <w:t xml:space="preserve">2. </w:t>
      </w:r>
      <w:r>
        <w:rPr>
          <w:rFonts w:ascii="Calibri" w:hAnsi="Calibri"/>
          <w:b w:val="0"/>
          <w:color w:val="3A4A28"/>
          <w:sz w:val="20"/>
        </w:rPr>
        <w:t>A CooperSurgical divestiture, while a potential value catalyst, would remove roughly a third of revenue and the segment most central to Cooper's 'people helping people' mission, creating both execution and identity risk [2]</w:t>
      </w:r>
    </w:p>
    <w:p>
      <w:pPr>
        <w:spacing w:before="40" w:after="40"/>
        <w:ind w:left="283"/>
      </w:pPr>
      <w:r>
        <w:rPr>
          <w:rFonts w:ascii="Calibri" w:hAnsi="Calibri"/>
          <w:b/>
          <w:color w:val="4A6B25"/>
          <w:sz w:val="20"/>
        </w:rPr>
        <w:t xml:space="preserve">3. </w:t>
      </w:r>
      <w:r>
        <w:rPr>
          <w:rFonts w:ascii="Calibri" w:hAnsi="Calibri"/>
          <w:b w:val="0"/>
          <w:color w:val="3A4A28"/>
          <w:sz w:val="20"/>
        </w:rPr>
        <w:t>No dividend and a 60.5x trailing P/E leave the stock dependent on continued double-digit non-GAAP earnings growth; any deceleration in CooperVision unit growth or myopia-management adoption would compress the premium multiple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CooperVision's contact lenses and CooperSurgical's fertility devices are physical, prescription, FDA-regulated products that AI cannot substitute — sterile manufacturing, medical-device supply chains, and IVF/embryology procedures require physical-world capabilities beyond AI's reach [1][5]. Some indirect exposure exists as AI-assisted diagnostic tools (including CooperVision's own Ocumetra partnership) could shift value toward software/diagnostics and compress optometrist-channel economics over time, but no analyst has flagged direct AI substitution risk to lens or fertility-device revenue. AI Opportunity (0/1): AI is deployed for internal efficiency (forecasting, marketing, shared services) and embedded in the Ocumetra myopia-risk diagnostic tool, but no COO-specific AI product revenue has been quantified or disclosed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In Vitro Fertilization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Cooper Companies Q2 FY2026 Earnings Release and Call Highlights — Investing.com, Yahoo Finance, June 2026</w:t>
      </w:r>
    </w:p>
    <w:p>
      <w:pPr>
        <w:spacing w:before="20" w:after="20"/>
        <w:ind w:left="170"/>
      </w:pPr>
      <w:r>
        <w:rPr>
          <w:rFonts w:ascii="Calibri" w:hAnsi="Calibri"/>
          <w:b/>
          <w:color w:val="4A6B25"/>
          <w:sz w:val="15"/>
        </w:rPr>
        <w:t xml:space="preserve">2. </w:t>
      </w:r>
      <w:r>
        <w:rPr>
          <w:rFonts w:ascii="Calibri" w:hAnsi="Calibri"/>
          <w:b w:val="0"/>
          <w:color w:val="3A4A28"/>
          <w:sz w:val="17"/>
        </w:rPr>
        <w:t>CooperCompanies FY2026 Guidance Update and CooperSurgical Sale-Talks Commentary — Markets Daily, Investing.com/Stifel, June-July 2026</w:t>
      </w:r>
    </w:p>
    <w:p>
      <w:pPr>
        <w:spacing w:before="20" w:after="20"/>
        <w:ind w:left="170"/>
      </w:pPr>
      <w:r>
        <w:rPr>
          <w:rFonts w:ascii="Calibri" w:hAnsi="Calibri"/>
          <w:b/>
          <w:color w:val="4A6B25"/>
          <w:sz w:val="15"/>
        </w:rPr>
        <w:t xml:space="preserve">3. </w:t>
      </w:r>
      <w:r>
        <w:rPr>
          <w:rFonts w:ascii="Calibri" w:hAnsi="Calibri"/>
          <w:b w:val="0"/>
          <w:color w:val="3A4A28"/>
          <w:sz w:val="17"/>
        </w:rPr>
        <w:t>MacroTrends — COO Debt-to-Equity, ROE, Profit Margin,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COO Key Statistics,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CooperVision / Ocumetra AI Myopia Diagnostic Partnership and MiSight Clinical Program — coopervision.com press releases</w:t>
      </w:r>
    </w:p>
    <w:p>
      <w:pPr>
        <w:spacing w:before="20" w:after="20"/>
        <w:ind w:left="170"/>
      </w:pPr>
      <w:r>
        <w:rPr>
          <w:rFonts w:ascii="Calibri" w:hAnsi="Calibri"/>
          <w:b/>
          <w:color w:val="4A6B25"/>
          <w:sz w:val="15"/>
        </w:rPr>
        <w:t xml:space="preserve">6. </w:t>
      </w:r>
      <w:r>
        <w:rPr>
          <w:rFonts w:ascii="Calibri" w:hAnsi="Calibri"/>
          <w:b w:val="0"/>
          <w:color w:val="3A4A28"/>
          <w:sz w:val="17"/>
        </w:rPr>
        <w:t>Glassdoor — Cooper Companies Company Reviews,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Simply Wall St — CooperCompanies Insider Buying Activity, December 2025-March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