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CORT</w:t>
      </w:r>
      <w:r>
        <w:rPr>
          <w:rFonts w:ascii="Calibri" w:hAnsi="Calibri"/>
          <w:b/>
          <w:color w:val="1A2010"/>
          <w:sz w:val="40"/>
        </w:rPr>
        <w:t xml:space="preserve">  Corcept Therapeutics Incorporated</w:t>
      </w:r>
    </w:p>
    <w:p>
      <w:pPr>
        <w:spacing w:after="120"/>
      </w:pPr>
      <w:r>
        <w:rPr>
          <w:rFonts w:ascii="Calibri" w:hAnsi="Calibri"/>
          <w:b/>
          <w:color w:val="6E8450"/>
          <w:sz w:val="18"/>
        </w:rPr>
        <w:t>GROWTH SLEEVE · 2026-07-15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Specialty Pharmaceuticals · NASDAQ · United States</w:t>
      </w:r>
    </w:p>
    <w:p>
      <w:pPr>
        <w:spacing w:after="80"/>
      </w:pPr>
      <w:r>
        <w:rPr>
          <w:rFonts w:ascii="Calibri" w:hAnsi="Calibri"/>
          <w:b w:val="0"/>
          <w:color w:val="3A4A28"/>
          <w:sz w:val="20"/>
        </w:rPr>
        <w:t>Corcept Therapeutics Incorporated is a commercial-stage pharmaceutical company focused on discovering and developing drugs that modulate the effects of the stress hormone cortisol. The company markets Korlym (mifepristone), the only FDA-approved treatment for hyperglycemia secondary to Cushing's syndrome, and Lifyorli (relacorilant), approved by the FDA in March 2026 for platinum-resistant ovarian cancer. Led by co-founder CEO Joseph Belanoff, M.D. (27-year tenure), the company has generated over $761M in annual revenue from its Cushing's franchise and holds $515M in cash. Founded in 1998, headquartered in Menlo Park, California.</w:t>
      </w:r>
    </w:p>
    <w:p>
      <w:r>
        <w:rPr>
          <w:rFonts w:ascii="Calibri" w:hAnsi="Calibri"/>
          <w:b/>
          <w:color w:val="6E8450"/>
          <w:sz w:val="18"/>
        </w:rPr>
        <w:t>730 Employees · https://www.corcept.com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Corcept achieved a landmark FDA approval of Lifyorli (relacorilant) in March 2026 for platinum-resistant ovarian cancer, opening an entirely new therapeutic market beyond the company's Cushing's syndrome foundation [1]. This represents a significant new revenue stream — the company increased 2026 revenue guidance to $950M-$1,050M, up from $761M in FY2025 [1]. However, the earlier Complete Response Letter rejecting relacorilant for Cushing's syndrome was a meaningful clinical setback, and the Korlym franchise, while dominant, has not produced transformative business model innovation. AI Deployment (0/2): No evidence of AI or machine learning deployment in drug discovery, clinical development, or commercial operations was identified [2]. Corcept operates a traditional pharmaceutical development model centered on cortisol modulation chemistry. Market Share (2/2): Korlym holds an effective monopoly as the only FDA-approved cortisol modulator for Cushing's syndrome, generating $761M in FY2025 revenue from a niche indication [1]. This category-defining position is protected by patents and regulatory exclusivity. Lifyorli enters the ovarian cancer market with a novel mechanism of action. Product Pipeline (1/2): The relacorilant platform is being explored across multiple indications leveraging the cortisol modulation mechanism, and Lifyorli's recent approval provides near-term commercial visibility [1]. However, the CRL for Cushing's syndrome narrows the pipeline's breadth. R&amp;D Intensity (1/1): Corcept invests substantially in clinical development, with operating expenses significantly above specialty pharma peers as a percentage of revenue, reflecting aggressive investment in the relacorilant platform and Lifyorli launch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Corcept's purpose — modulating the effects of cortisol to treat severe endocrinologic, oncologic, metabolic, and neurologic disorders — is specific and thoughtful, reflecting genuine scientific intentionality from co-founder CEO Joseph Belanoff, M.D. [2]. Dr. Belanoff founded the company based on his Stanford University research on cortisol's pathological effects and has spent 27 years pursuing this singular biological insight. The mission differentiates clearly from peers — very few pharma companies are built around a single hormone's mechanism of action. The 27-year consistency from research insight to two FDA-approved drugs validates the mission's durability. Community Impact (0/2): No evidence of significant charitable programs, foundation, or quantified community investment was identified beyond standard pharmaceutical patient assistance programs. Employee Retention (1/2): Co-founder CEO Belanoff has served for 27 years and Chairman James Wilson since 1999, demonstrating extraordinary leadership continuity [2]. The 730-person workforce has grown, suggesting organizational stability. However, no specific broader employee retention data, voluntary turnover rates, or average tenure figures are publicly available. Insider Buying (0/2): Net insider selling in recent months — CFO Atabak Mokari sold 40,000 shares ($3.25M) in June 2026, CDO William Guyer sold 20,000 shares (~$1.86M), and Director Wilson's trust sold 10,000 shares [4]. No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Corcept has a pristine balance sheet with essentially zero debt (D/E ~1.5%) and $515M in cash and investments [1]. Revenue growth has been strong — FY2025 revenue of $761.4M grew 12.8% from FY2024's $675M, and the 5-year revenue CAGR of 16.6% (from $353.9M in 2020) reflects consistent Korlym franchise growth plus the Lifyorli launch ramp [1][5]. However, the valuation is severely stretched — Forward P/E of 112.4x and PEG of 6.39 reflect the market pricing in substantial future growth from Lifyorli, leaving zero margin of safety [3]. TTM profit margin of 6.2% is depressed by a Q1 2026 net loss of $31.8M driven by Lifyorli launch expenses, and ROE of 7.2% is well below the 15% target [3]. The company expects to return to profitability in Q2 2026 with full-year guidance of $0.76 EPS.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Corcept under Joseph Belanoff represents a genuinely long-term commitment to a singular scientific thesis — that cortisol modulation can treat severe disorders. The co-founder CEO's 27-year tenure and the company's unwavering focus on cortisol biology through regulatory setbacks, patent litigation, and qui tam lawsuits demonstrate the kind of persistence Sinek associates with infinite players. The expansion from Cushing's syndrome to ovarian cancer, while staying true to the cortisol modulation mechanism, shows purposeful evolution. However, the company has not articulated a vision that transcends its specific therapeutic focus, and heavy insider selling raises questions about leadership's long-term conviction.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Corcept's purpose — modulating cortisol to treat severe disorders — is a genuine cause that has been partially validated by 27 years of consistent execution under the same founder-CEO [2]. Dr. Belanoff built the company around his Stanford research on cortisol pathology, and every strategic decision (Korlym for Cushing's, relacorilant for ovarian cancer) traces back to this founding insight. The cause survived a CRL rejection, patent litigation with Teva, a qui tam lawsuit, and securities class actions — all while the company stayed focused on cortisol modulation [6]. However, 'modulating cortisol' is ultimately a scientific approach, not a vision of a future state that doesn't yet exist. The cause is specific and differentiated but not yet transformative.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Extraordinary leadership continuity — CEO Belanoff (27 years) and Chairman Wilson (since 1999) — creates institutional stability rare in biotech [2]. The workforce has grown to 730 employees, and the recent appointments of a Chief Commercial Officer and Chief Medical Officer signal organizational maturation. However, no specific employee retention data, voluntary turnover rates, or cultural survey results are publicly available. The legal scrutiny (qui tam, securities class actions) may create internal stress.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Corcept's leadership acknowledging competitors' strengths or using competitive dynamics constructively. The company's stance in patent litigation against Teva and its defense of monopoly pricing for Korlym suggest a finite competitive mindset focused on protecting market position rather than learning from rivals. The qui tam allegations about Korlym marketing practices, while contested by the company, raise questions about competitive behavior [6].</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Corcept's expansion from Cushing's syndrome (a rare endocrine disorder affecting ~10,000 US patients) to platinum-resistant ovarian cancer (a much larger oncology market) represents a meaningful strategic evolution [1]. This pivot leverages the cortisol modulation mechanism in an entirely new therapeutic area, potentially transforming Corcept from a single-product niche pharma company to a multi-franchise specialty pharmaceutical company. However, the underlying platform (cortisol modulation) has not changed — this is market expansion rather than fundamental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Joseph Belanoff has demonstrated a pattern of courageous leadership over 27 years. He maintained R&amp;D investment in the relacorilant platform through the Complete Response Letter rejection for Cushing's syndrome, weathered the qui tam whistleblower lawsuit (DOJ ultimately declined to intervene), defended Korlym patents against Teva's generic challenge, and persevered through multiple securities class actions — all while continuing to invest in the ovarian cancer program that ultimately won FDA approval in March 2026 [1][6]. These were not costless decisions — any of these challenges could have forced a sale or strategic retreat, but Belanoff maintained commitment to the cortisol modulation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Corcept Therapeutics stands at an inflection point with the March 2026 FDA approval of Lifyorli (relacorilant) for platinum-resistant ovarian cancer, opening a market opportunity orders of magnitude larger than the Cushing's syndrome franchise that generates $761M in annual revenue [1]. The company has raised 2026 revenue guidance to $950M-$1,050M, implying 25-38% growth, and holds $515M in cash with virtually zero debt [1]. Co-founder CEO Dr. Belanoff's 27-year tenure pursuing cortisol modulation provides unusual strategic clarity and founder alignment [2]. The Korlym monopoly in Cushing's syndrome provides a durable revenue base while Lifyorli ramps. Revenue 5-year CAGR of 16.6% demonstrates consistent growth acceleration.</w:t>
      </w:r>
    </w:p>
    <w:p>
      <w:pPr>
        <w:spacing w:after="120"/>
      </w:pPr>
      <w:r>
        <w:rPr>
          <w:rFonts w:ascii="Calibri" w:hAnsi="Calibri"/>
          <w:b w:val="0"/>
          <w:color w:val="3A4A28"/>
          <w:sz w:val="20"/>
        </w:rPr>
        <w:t>The bear case centers on valuation, legal risk, and clinical uncertainty. At 112x forward earnings and PEG of 6.39, CORT is priced for near-perfect Lifyorli execution with zero margin of safety — any commercial disappointment could trigger severe multiple compression [3]. The Q1 2026 net loss of $31.8M (vs. $20.5M profit a year earlier) reflects heavy Lifyorli launch spending that may persist through 2026, and the TTM profit margin of 6.2% is thin [3]. The company faces multiple legal headwinds: a qui tam whistleblower lawsuit alleging off-label promotion and kickback practices (DOJ declined to intervene but the case continues), securities class actions following the relacorilant CRL rejection, and the Teva patent challenge to Korlym exclusivity [6]. Heavy insider selling by the CFO ($3.25M), CDO ($1.86M), and director trust undermines the founder narrative. The Inspire Impact score of -62 (MISALIGNED) due to abortifacient classification of mifepristone (Korlym's active ingredient) presents values-alignment risk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Lifyorli commercial launch ramp in platinum-resistant ovarian cancer through 2026-2027, with the potential to transform Corcept from a single-product niche pharma company to a multi-franchise specialty pharmaceutical company with $1B+ annual revenue</w:t>
      </w:r>
    </w:p>
    <w:p>
      <w:pPr>
        <w:spacing w:before="40" w:after="40"/>
        <w:ind w:left="283"/>
      </w:pPr>
      <w:r>
        <w:rPr>
          <w:rFonts w:ascii="Calibri" w:hAnsi="Calibri"/>
          <w:b/>
          <w:color w:val="4A6B25"/>
          <w:sz w:val="20"/>
        </w:rPr>
        <w:t xml:space="preserve">2. </w:t>
      </w:r>
      <w:r>
        <w:rPr>
          <w:rFonts w:ascii="Calibri" w:hAnsi="Calibri"/>
          <w:b w:val="0"/>
          <w:color w:val="3A4A28"/>
          <w:sz w:val="20"/>
        </w:rPr>
        <w:t>Expansion of the relacorilant platform into additional cortisol-mediated indications beyond ovarian cancer, leveraging the FDA-validated mechanism of action for new indications</w:t>
      </w:r>
    </w:p>
    <w:p>
      <w:pPr>
        <w:spacing w:before="40" w:after="40"/>
        <w:ind w:left="283"/>
      </w:pPr>
      <w:r>
        <w:rPr>
          <w:rFonts w:ascii="Calibri" w:hAnsi="Calibri"/>
          <w:b/>
          <w:color w:val="4A6B25"/>
          <w:sz w:val="20"/>
        </w:rPr>
        <w:t xml:space="preserve">3. </w:t>
      </w:r>
      <w:r>
        <w:rPr>
          <w:rFonts w:ascii="Calibri" w:hAnsi="Calibri"/>
          <w:b w:val="0"/>
          <w:color w:val="3A4A28"/>
          <w:sz w:val="20"/>
        </w:rPr>
        <w:t>Return to profitability in Q2 2026 with guided full-year EPS of $0.76, with potential for significant operating leverage as Lifyorli revenue scales against fixed launch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112x and PEG of 6.39 leave zero margin of safety — the stock prices in near-perfect Lifyorli commercial execution, and any revenue guidance miss could trigger severe multiple compression from current $88.60 share price</w:t>
      </w:r>
    </w:p>
    <w:p>
      <w:pPr>
        <w:spacing w:before="40" w:after="40"/>
        <w:ind w:left="283"/>
      </w:pPr>
      <w:r>
        <w:rPr>
          <w:rFonts w:ascii="Calibri" w:hAnsi="Calibri"/>
          <w:b/>
          <w:color w:val="4A6B25"/>
          <w:sz w:val="20"/>
        </w:rPr>
        <w:t xml:space="preserve">2. </w:t>
      </w:r>
      <w:r>
        <w:rPr>
          <w:rFonts w:ascii="Calibri" w:hAnsi="Calibri"/>
          <w:b w:val="0"/>
          <w:color w:val="3A4A28"/>
          <w:sz w:val="20"/>
        </w:rPr>
        <w:t>Multiple legal overhang: qui tam whistleblower lawsuit alleging off-label Korlym promotion (DOJ declined but case continues), securities class actions from CRL rejection, and Teva generic patent challenge threaten both revenue and management bandwidth</w:t>
      </w:r>
    </w:p>
    <w:p>
      <w:pPr>
        <w:spacing w:before="40" w:after="40"/>
        <w:ind w:left="283"/>
      </w:pPr>
      <w:r>
        <w:rPr>
          <w:rFonts w:ascii="Calibri" w:hAnsi="Calibri"/>
          <w:b/>
          <w:color w:val="4A6B25"/>
          <w:sz w:val="20"/>
        </w:rPr>
        <w:t xml:space="preserve">3. </w:t>
      </w:r>
      <w:r>
        <w:rPr>
          <w:rFonts w:ascii="Calibri" w:hAnsi="Calibri"/>
          <w:b w:val="0"/>
          <w:color w:val="3A4A28"/>
          <w:sz w:val="20"/>
        </w:rPr>
        <w:t>Heavy net insider selling ($5M+ in recent months by CFO, CDO, and director) contradicts the founder-led narrative and may signal insiders' view that the stock is fully valued at current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Corcept's business is structurally immune to AI disruption. The company develops and sells FDA-approved pharmaceutical drugs — physical molecules that must be manufactured, distributed, and prescribed through a regulated healthcare system [1][2]. AI cannot replace prescription medications, FDA regulatory approval processes, clinical trial execution, or the specialized sales force required to market drugs for rare conditions like Cushing's syndrome. Korlym's monopoly position as the only FDA-approved cortisol modulator is protected by patents and regulatory exclusivity, creating a double moat. The Lifyorli approval for ovarian cancer adds another regulatory barrier to entry. No analysts have flagged AI as a disruption risk for Corcept's business model. AI Opportunity (0/1): No evidence of AI-driven products or revenue. Corcept operates a traditional pharmaceutical model without publicly disclosed AI or machine learning applications in drug discovery, clinical operations, or commercial functions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Corcept Therapeutics Q1 2026 Earnings Release and FY2025 Results — SEC Form 8-K / ir.corcept.com, February-April 2026</w:t>
      </w:r>
    </w:p>
    <w:p>
      <w:pPr>
        <w:spacing w:before="20" w:after="20"/>
        <w:ind w:left="170"/>
      </w:pPr>
      <w:r>
        <w:rPr>
          <w:rFonts w:ascii="Calibri" w:hAnsi="Calibri"/>
          <w:b/>
          <w:color w:val="4A6B25"/>
          <w:sz w:val="15"/>
        </w:rPr>
        <w:t xml:space="preserve">2. </w:t>
      </w:r>
      <w:r>
        <w:rPr>
          <w:rFonts w:ascii="Calibri" w:hAnsi="Calibri"/>
          <w:b w:val="0"/>
          <w:color w:val="3A4A28"/>
          <w:sz w:val="17"/>
        </w:rPr>
        <w:t>Corcept Therapeutics Corporate Website — Leadership, Mission, Pipeline — corcept.com,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StockAnalysis — CORT Key Statistics, Valuation Metrics, and Financial 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StockTitan / Motley Fool — CORT Insider Trading Activity (CFO selling $3.25M, CDO selling $1.86M), June-July 2026</w:t>
      </w:r>
    </w:p>
    <w:p>
      <w:pPr>
        <w:spacing w:before="20" w:after="20"/>
        <w:ind w:left="170"/>
      </w:pPr>
      <w:r>
        <w:rPr>
          <w:rFonts w:ascii="Calibri" w:hAnsi="Calibri"/>
          <w:b/>
          <w:color w:val="4A6B25"/>
          <w:sz w:val="15"/>
        </w:rPr>
        <w:t xml:space="preserve">5. </w:t>
      </w:r>
      <w:r>
        <w:rPr>
          <w:rFonts w:ascii="Calibri" w:hAnsi="Calibri"/>
          <w:b w:val="0"/>
          <w:color w:val="3A4A28"/>
          <w:sz w:val="17"/>
        </w:rPr>
        <w:t>WallStreetZen / StockAnalysis — CORT Revenue History 2020-2025,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Globe and Mail / Yahoo Finance — Corcept Faces Qui Tam Complaint, Securities Class Actions, and Teva Patent Litigation, 2022-2026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