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CPB</w:t>
      </w:r>
      <w:r>
        <w:rPr>
          <w:rFonts w:ascii="Calibri" w:hAnsi="Calibri"/>
          <w:b/>
          <w:color w:val="1A2010"/>
          <w:sz w:val="40"/>
        </w:rPr>
        <w:t xml:space="preserve">  The Campbell's Company</w:t>
      </w:r>
    </w:p>
    <w:p>
      <w:pPr>
        <w:spacing w:after="120"/>
      </w:pPr>
      <w:r>
        <w:rPr>
          <w:rFonts w:ascii="Calibri" w:hAnsi="Calibri"/>
          <w:b/>
          <w:color w:val="6E8450"/>
          <w:sz w:val="18"/>
        </w:rPr>
        <w:t>DIVIDEND SLEEVE · 2026-08-22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NASDAQ · United States</w:t>
      </w:r>
    </w:p>
    <w:p>
      <w:pPr>
        <w:spacing w:after="80"/>
      </w:pPr>
      <w:r>
        <w:rPr>
          <w:rFonts w:ascii="Calibri" w:hAnsi="Calibri"/>
          <w:b w:val="0"/>
          <w:color w:val="3A4A28"/>
          <w:sz w:val="20"/>
        </w:rPr>
        <w:t>The Campbell's Company (formerly Campbell Soup) is a 155-year-old packaged food and snacking company operating in two segments: Meals &amp; Beverages (Campbell's Soup, Rao's, Pace, Swanson, Pacific Foods, Prego) and Snacks (Goldfish, Pepperidge Farm, Snyder's-Lance, Cape Cod, Kettle Brand). The $2.7B acquisition of Sovos Brands (Rao's) closed in March 2024, shifting the portfolio toward premium. CEO Mick Beekhuizen succeeded Mark Clouse effective February 2025 [2]. FY2026 guidance calls for organic net sales of -2% to -1% and adjusted EPS of $2.15-$2.25, with Q3 FY2026 revenue declining 4.4% YoY to $2.37B as tariff-related cost inflation pressured margins [1]. Market cap approximately $6.6B.</w:t>
      </w:r>
    </w:p>
    <w:p>
      <w:r>
        <w:rPr>
          <w:rFonts w:ascii="Calibri" w:hAnsi="Calibri"/>
          <w:b/>
          <w:color w:val="6E8450"/>
          <w:sz w:val="18"/>
        </w:rPr>
        <w:t>13,700 Employees · https://www.thecampbellscompany.com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Campbell's $2.7B acquisition of Sovos Brands (Rao's) in March 2024 was the most significant portfolio move in a decade, adding a premium sauce brand to complement the legacy soup portfolio [3]. However, this is acquisition-driven portfolio management, not organic innovation. The core Campbell's Soup and Snacks businesses have not executed transformative product launches or category-creating pivots — the company is managing established brands in mature, slow-growth categories. AI Deployment (1/2): Campbell's has built an AI-infused insights engine that analyzes approximately 300 billion data points covering culinary trends, consumer recipe patterns, and startup innovations, married with an internal incubator to accelerate product development [2]. This has produced measurable results — launching Twisted Pretzel Sticks 'in weeks rather than months' — though no specific dollar savings have been quantified. Market Share (1/2): Campbell's holds the dominant position in shelf-stable soup (Campbell's brand) and strong positions in snacking (Goldfish, Pepperidge Farm). However, organic net sales declined 4% in Q3 with a 5% volume and mix headwind, indicating the company is losing share or facing category contraction [1]. Rao's holds a premium position in pasta sauce but is a smaller brand. Product Pipeline (0/2): No specific next-generation products with named launch dates announced. Innovation strategy focuses on faster prototyping through the AI incubator rather than a visible pipeline. R&amp;D Intensity (0/1): No evidence of above-average R&amp;D spending relative to packaged food peers. The company's focus has been on cost savings and marketing efficiency.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Campbell's purpose centers on 'connecting people through food they love' — a clear and genuine articulation for a 155-year-old food company, but not deeply distinctive from peers in the packaged foods industry [2]. The brand carries genuine Americana heritage and cultural significance, but the purpose statement itself does not articulate a transformative future state. Community Impact (0/2): No specific evidence of distinctive charitable programs, foundation work, or community investment initiatives beyond standard corporate philanthropy was found in research. Employee Retention (1/2): The CEO transition from Mark Clouse to Mick Beekhuizen was smooth and planned, with Beekhuizen elected by the board and effective February 2025 [2]. Campbell's innovation culture redesigned lab spaces to favor collaboration and networking, suggesting investment in employee experience. However, no specific turnover or tenure data is available.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Campbell's Forward P/E of 11.49 scores a perfect 1.0, reflecting a significant de-rating from the 31.5% stock decline over the past year [4]. ROE of 15.39% hits the 15% target, scoring 1.0. D/E of 182% is elevated — largely from the $2.7B Sovos acquisition debt — scoring 0.51, with $7.34B total debt against $402M cash creating a net cash deficit of -$6.93B [4]. Profit margin of 6.12% scores 0.31, reflecting the margin compression from tariff-related cost inflation (adjusted gross margin contracted 240bps to 27.7% in Q3) [1]. Revenue growth YoY of -2% scores 0.60, and the 5yr CAGR of approximately 2% (mostly acquisition-driven) scores 0.47. On dividend metrics, consecutive years paid (~50 years) scores 1.0 with 2x weight — a standout anchor. However, dividend growth CAGR of approximately 1% scores low (0.17 with 2x weight), payout ratio of 77.3% is elevated (scoring 0.38), and consecutive years growth of just 2 scores 0.20. The 7.10% yield is exceptionally high for consumer staples, reflecting the stock price decline rather than dividend generosity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Campbell's at 155 years old is one of the longest-enduring American food brands, demonstrating genuine staying power through multiple economic cycles, consumer trend shifts, and competitive threats. The smooth CEO transition from Clouse to Beekhuizen (February 2025) and the bold Rao's acquisition ($2.7B) suggest an organization capable of long-term thinking [2][3]. The innovation culture investment — redesigned labs, AI-powered insights engine, internal incubator — shows willingness to evolve operating methods. However, the current financial pressure (EPS declining 30%, margins contracting, revenue declining) tests whether the organization can maintain long-term focus during short-term adversity, and the heavy debt load from the Sovos acquisition creates finite-game financial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Campbell's purpose of 'connecting people through food they love' has been partially validated by 155 years of continuous operation through depressions, world wars, and massive shifts in consumer preferences [2]. The Rao's acquisition was explicitly purpose-aligned — extending the company's ability to connect people through higher-quality food. The brand itself carries cultural significance that transcends its products. However, the company has not yet proven this purpose through the current crisis — FY2026 features declining revenue, compressed margins, and significant debt, and it remains to be seen whether new CEO Beekhuizen maintains purpose-driven decision-making under financial pressure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Clouse to Beekhuizen was planned and orderly, with the board electing Beekhuizen as successor months in advance [2]. Under Clouse, the company redesigned R&amp;D lab spaces to prioritize collaboration and networking over individual workstations, and created the AI-powered innovation incubator that empowers teams to prototype rapidly. These structural investments in employee capability suggest adequate organizational trust. However, no specific retention data, turnover rates, or employee sentiment data is available to confirm above-average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Campbell's has survived 155 years in a fiercely competitive food market by adapting to competitors' strengths rather than trying to destroy them. The Rao's acquisition reflects competitive learning — recognizing that premium brands were gaining share against Campbell's legacy products and acquiring the capability rather than denying the trend [3]. The company's competitive posture focuses on product quality improvement and portfolio evolution rather than price wars or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Campbell's has evolved meaningfully from its legacy identity as primarily a soup company. The Rao's acquisition ($2.7B) and the growth of the Snacks segment (Goldfish, Pepperidge Farm, Snyder's-Lance) have diversified the portfolio, with Meals &amp; Beverages and Snacks now contributing roughly equally [1][3]. The company dropped 'Soup' from its name in 2024, signaling strategic evolution. However, these are incremental portfolio additions through acquisition, not transformative pivots — the company still fundamentally makes and sells packaged food products.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$2.7B Sovos/Rao's acquisition was a bold bet on premiumization that required taking on significant debt ($7.34B total) and integrating a high-growth brand into a legacy organization [3]. Campbell's also invested in the AI innovation incubator during a period of margin pressure, prioritizing long-term capability over short-term cost reduction. However, the company is also cutting costs to offset tariffs and has guided for 20%+ adjusted EPS decline — the tension between long-term investment and near-term financial management is unresolved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Campbell's at $22.60 with a 7.10% dividend yield and 11.49x forward earnings is a defensive income play offering substantial yield support during a transitional period. The 155-year brand heritage, dominant shelf-stable soup position, and premium Rao's franchise provide durable competitive advantages in packaged food — a sector structurally immune to AI disruption [1][3]. ROE of 15.39% demonstrates the business generates adequate returns despite current margin pressure. Operating cash flow remains healthy, and the 50-year dividend payment streak provides income reliability. The stock's 31.5% decline over the past year prices in considerable negativity — any stabilization of organic sales (guided -2% to -1%) or successful integration of the Rao's brand at scale could support re-rating from the current distressed multiples [1].</w:t>
      </w:r>
    </w:p>
    <w:p>
      <w:pPr>
        <w:spacing w:after="120"/>
      </w:pPr>
      <w:r>
        <w:rPr>
          <w:rFonts w:ascii="Calibri" w:hAnsi="Calibri"/>
          <w:b w:val="0"/>
          <w:color w:val="3A4A28"/>
          <w:sz w:val="20"/>
        </w:rPr>
        <w:t>The bear case centers on execution risk under financial pressure. Adjusted EPS guidance of $2.15-$2.25 represents a 30% decline from FY2025 as tariff-related cost inflation (240bps of gross margin compression in Q3) overwhelms pricing actions and cost savings [1]. D/E of 182% with $7.34B in debt and only $402M cash creates meaningful financial leverage risk — the company must service acquisition debt while volumes decline (-5% in Q3) and margins contract [4]. The 77.3% payout ratio is elevated for a company with declining earnings, raising questions about dividend sustainability if the margin headwinds persist. Organic revenue has been declining for multiple quarters, and the Consumer Beauty shift in the snack portfolio faces intense competition from both private label and premium competitors. New CEO Beekhuizen inherits a challenging operating environment with limited financial flexibility. The Inspire Impact Score of 51 (ALIGNED) supports faith-based allocation, and the yield provides income while waiting for the turnaround — but patience may be required as management described the environment as uncertain with cost headwinds persisting into FY2027.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Rao's brand integration at scale — the premium sauce franchise growing double digits could offset weakness in legacy soup, with Campbell's vowing to protect the Rao's recipe and investing $286M in a 49% stake in the Italian sauce supplier to secure the supply chain [3]</w:t>
      </w:r>
    </w:p>
    <w:p>
      <w:pPr>
        <w:spacing w:before="40" w:after="40"/>
        <w:ind w:left="283"/>
      </w:pPr>
      <w:r>
        <w:rPr>
          <w:rFonts w:ascii="Calibri" w:hAnsi="Calibri"/>
          <w:b/>
          <w:color w:val="4A6B25"/>
          <w:sz w:val="20"/>
        </w:rPr>
        <w:t xml:space="preserve">2. </w:t>
      </w:r>
      <w:r>
        <w:rPr>
          <w:rFonts w:ascii="Calibri" w:hAnsi="Calibri"/>
          <w:b w:val="0"/>
          <w:color w:val="3A4A28"/>
          <w:sz w:val="20"/>
        </w:rPr>
        <w:t>Tariff cost absorption — as pricing actions and productivity savings fully offset tariff headwinds through FY2027, adjusted gross margins could rebound from the Q3 trough of 27.7%, supporting EPS recovery from the $2.20 guidance midpoint [1]</w:t>
      </w:r>
    </w:p>
    <w:p>
      <w:pPr>
        <w:spacing w:before="40" w:after="40"/>
        <w:ind w:left="283"/>
      </w:pPr>
      <w:r>
        <w:rPr>
          <w:rFonts w:ascii="Calibri" w:hAnsi="Calibri"/>
          <w:b/>
          <w:color w:val="4A6B25"/>
          <w:sz w:val="20"/>
        </w:rPr>
        <w:t xml:space="preserve">3. </w:t>
      </w:r>
      <w:r>
        <w:rPr>
          <w:rFonts w:ascii="Calibri" w:hAnsi="Calibri"/>
          <w:b w:val="0"/>
          <w:color w:val="3A4A28"/>
          <w:sz w:val="20"/>
        </w:rPr>
        <w:t>7.10% dividend yield provides meaningful income floor for investors, with 50 years of consecutive payment history suggesting high commitment to maintaining the dividend even during the current earnings pressure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volume decline of 5% in Q3 FY2026 suggests consumers are trading down from Campbell's products to private label alternatives, a structural risk in an inflationary environment that could persist beyond the tariff headwinds [1]</w:t>
      </w:r>
    </w:p>
    <w:p>
      <w:pPr>
        <w:spacing w:before="40" w:after="40"/>
        <w:ind w:left="283"/>
      </w:pPr>
      <w:r>
        <w:rPr>
          <w:rFonts w:ascii="Calibri" w:hAnsi="Calibri"/>
          <w:b/>
          <w:color w:val="4A6B25"/>
          <w:sz w:val="20"/>
        </w:rPr>
        <w:t xml:space="preserve">2. </w:t>
      </w:r>
      <w:r>
        <w:rPr>
          <w:rFonts w:ascii="Calibri" w:hAnsi="Calibri"/>
          <w:b w:val="0"/>
          <w:color w:val="3A4A28"/>
          <w:sz w:val="20"/>
        </w:rPr>
        <w:t>Leverage risk with D/E of 182% and $7.34B in debt — if earnings continue declining and cash flow weakens, the company may face a choice between debt reduction and dividend maintenance, particularly with a 77.3% payout ratio [4]</w:t>
      </w:r>
    </w:p>
    <w:p>
      <w:pPr>
        <w:spacing w:before="40" w:after="40"/>
        <w:ind w:left="283"/>
      </w:pPr>
      <w:r>
        <w:rPr>
          <w:rFonts w:ascii="Calibri" w:hAnsi="Calibri"/>
          <w:b/>
          <w:color w:val="4A6B25"/>
          <w:sz w:val="20"/>
        </w:rPr>
        <w:t xml:space="preserve">3. </w:t>
      </w:r>
      <w:r>
        <w:rPr>
          <w:rFonts w:ascii="Calibri" w:hAnsi="Calibri"/>
          <w:b w:val="0"/>
          <w:color w:val="3A4A28"/>
          <w:sz w:val="20"/>
        </w:rPr>
        <w:t>New CEO Mick Beekhuizen inherits a challenging operating environment — declining volumes, margin compression, heavy acquisition debt, and tariff uncertainty — with limited track record as a public company CEO during adversity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Campbell's core business — manufacturing, distributing, and marketing physical packaged food products — is structurally immune to AI disruption. AI cannot replace the physical production of soup, sauce, crackers, and snacks, nor can it replicate the established retail distribution relationships, brand recognition (155-year heritage), and consumer trust that Campbell's has built [1]. The company's products serve essential human needs (food consumption) through physical-world operations (manufacturing plants, distribution networks, retail shelf space) that AI cannot displace. AI may actually benefit the business through demand forecasting, supply chain optimization, and the kind of consumer insights Campbell's already captures through its 300-billion-data-point AI engine [2]. No analysts have flagged AI as a material threat to packaged food companies. AI Opportunity (0/1): Campbell's AI-powered insights engine and innovation incubator accelerate internal product development but do not generate AI-related revenue. The company does not sell AI products or services — the AI is purely an internal operational tool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Campbell's Q3 FY2026 Earnings Release — Revenue $2.37B (-4.4% YoY), Organic Sales -4%, Adjusted Gross Margin 27.7% (-240bps), FY2026 Guidance: Organic Sales -2% to -1%, Adjusted EPS $2.15-$2.25, June 2026</w:t>
      </w:r>
    </w:p>
    <w:p>
      <w:pPr>
        <w:spacing w:before="20" w:after="20"/>
        <w:ind w:left="170"/>
      </w:pPr>
      <w:r>
        <w:rPr>
          <w:rFonts w:ascii="Calibri" w:hAnsi="Calibri"/>
          <w:b/>
          <w:color w:val="4A6B25"/>
          <w:sz w:val="15"/>
        </w:rPr>
        <w:t xml:space="preserve">2. </w:t>
      </w:r>
      <w:r>
        <w:rPr>
          <w:rFonts w:ascii="Calibri" w:hAnsi="Calibri"/>
          <w:b w:val="0"/>
          <w:color w:val="3A4A28"/>
          <w:sz w:val="17"/>
        </w:rPr>
        <w:t>Campbell's Leadership and Innovation — CEO Mick Beekhuizen Succeeds Mark Clouse (Feb 2025), AI-Powered Insights Engine (300B Data Points), Innovation Incubator, Lab Space Redesign — Food Dive, CIO Dive, ConsumerGoods Technology, 2024-2026</w:t>
      </w:r>
    </w:p>
    <w:p>
      <w:pPr>
        <w:spacing w:before="20" w:after="20"/>
        <w:ind w:left="170"/>
      </w:pPr>
      <w:r>
        <w:rPr>
          <w:rFonts w:ascii="Calibri" w:hAnsi="Calibri"/>
          <w:b/>
          <w:color w:val="4A6B25"/>
          <w:sz w:val="15"/>
        </w:rPr>
        <w:t xml:space="preserve">3. </w:t>
      </w:r>
      <w:r>
        <w:rPr>
          <w:rFonts w:ascii="Calibri" w:hAnsi="Calibri"/>
          <w:b w:val="0"/>
          <w:color w:val="3A4A28"/>
          <w:sz w:val="17"/>
        </w:rPr>
        <w:t>Sovos Brands / Rao's Acquisition — $2.7B Acquisition Closed March 2024, 49% Stake in Italian Supplier ($286M), Brand Protection Strategy — NBC News, Food Business News, Campbell's Newsroom,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CPB Key Statistics: Stock Price $22.60, Forward P/E 11.49, Trailing P/E 10.77, D/E 182%, ROE 15.39%, Profit Margin 6.12%, Dividend Yield 7.10%, Avg Volume 10.23M,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