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CPRI</w:t>
      </w:r>
      <w:r>
        <w:rPr>
          <w:rFonts w:ascii="Calibri" w:hAnsi="Calibri"/>
          <w:b/>
          <w:color w:val="1A2010"/>
          <w:sz w:val="40"/>
        </w:rPr>
        <w:t xml:space="preserve">  Capri Holdings Limited</w:t>
      </w:r>
    </w:p>
    <w:p>
      <w:pPr>
        <w:spacing w:after="120"/>
      </w:pPr>
      <w:r>
        <w:rPr>
          <w:rFonts w:ascii="Calibri" w:hAnsi="Calibri"/>
          <w:b/>
          <w:color w:val="6E8450"/>
          <w:sz w:val="18"/>
        </w:rPr>
        <w:t>GROWTH SLEEVE · 2026-07-10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Textile - Apparel Footwear &amp; Accessories · NYSE · British Virgin Islands</w:t>
      </w:r>
    </w:p>
    <w:p>
      <w:pPr>
        <w:spacing w:after="80"/>
      </w:pPr>
      <w:r>
        <w:rPr>
          <w:rFonts w:ascii="Calibri" w:hAnsi="Calibri"/>
          <w:b w:val="0"/>
          <w:color w:val="3A4A28"/>
          <w:sz w:val="20"/>
        </w:rPr>
        <w:t>Capri Holdings Limited is a global fashion luxury group operating two iconic brands: Michael Kors (accessible luxury handbags, ready-to-wear, footwear, and accessories, ~83% of revenue) and Jimmy Choo (luxury shoes, handbags, and accessories, ~17% of revenue). The company sold its Versace brand to Prada in December 2025 following the FTC's blocking of the proposed Tapestry merger in November 2024. FY2026 (ended March 2026) revenue was $3.47 billion.</w:t>
      </w:r>
    </w:p>
    <w:p>
      <w:r>
        <w:rPr>
          <w:rFonts w:ascii="Calibri" w:hAnsi="Calibri"/>
          <w:b/>
          <w:color w:val="6E8450"/>
          <w:sz w:val="18"/>
        </w:rPr>
        <w:t>12,000 Employees · https://www.capriholdings.com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Capri's most significant recent strategic action was selling Versace to Prada in December 2025 to reduce debt and simplify the portfolio, returning to profitability with $80M net income in FY2026 after a $526M loss in FY2025 [1][3]. However, this was a reactive divestiture driven by financial pressure after the failed Tapestry merger, not a proactive innovation. No meaningful new product launches or business model transformations in the last 5 years. AI Deployment (0/2): No evidence of AI-powered products, customer experiences, or quantified AI-driven operational savings. CIO Alejandro Martinez-Galindo was hired for digital transformation but no AI-specific outcomes have been reported. Market Share (0/2): Michael Kors has been losing market share in the accessible luxury segment as consumer preferences shift toward experiential luxury and emerging brands. FY2026 Michael Kors revenue declined 5.5% YoY while the broader luxury market softened [1]. Product Pipeline (0/2): No next-generation products, brand launches, or innovation initiatives with specific timelines and revenue visibility. The strategy is turnaround and stabilization rather than innovation. R&amp;D Intensity (0/1): Fashion companies do not report R&amp;D spending. Capri's design and merchandising investment is not quantified or differentiated from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Capri Holdings' purpose revolves around luxury fashion, design, and craftsmanship — a generic statement interchangeable with any luxury house. The mission does not articulate why Capri exists beyond creating and selling fashion products. The failed Tapestry merger and subsequent Versace sale suggest financial optimization drives strategy more than purpose. Community Impact (1/2): Capri achieved SBTi-approved greenhouse gas reduction targets with a 38% reduction in scope 1 and 2 emissions from FY19 baseline, and 91% of leather sourced from certified tanneries [5]. Board diversity is strong at 62.5% women and 25% persons of color. However, no specific charitable programs or community dollar amounts are cited. Employee Retention (0/2): Leadership instability undermines retention — John Idol took on dual CEO roles (Capri Holdings + Michael Kors), Tyler Reddien was appointed CFO/COO effective March 2026, and the overall organization has experienced significant structural changes following the failed Tapestry merger and Versace divestiture [1]. No specific tenure or turnover data available. Insider Buying (0/2): No evidence of meaningful net insider buying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Growth weights. FY2026 revenue of $3.47B declined 4.1% YoY, and 5-year revenue CAGR is approximately -1% (flat to declining on a continuing operations basis), both scoring below target [1]. D/E of 425% ($357M debt against just $84M stockholders' equity) exceeds the 300% floor, scoring zero — equity has been depleted by historical losses and share buybacks [1]. ROE technically scores at maximum (net income $80M on $84M equity = ~95%) but this is artificially inflated by the minimal equity base. Key strengths are the low forward PE of 9.9x (based on FY2027 guidance of $2.15 EPS), PEG ratio of 0.39 reflecting expected 40% EPS growth, and both score at maximum [4][6]. Q4 FY2026 gross margin expanded 490bps to 64.8%, demonstrating brand pricing power despite revenue declines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Capri Holdings is a textbook finite game player under Sinek's framework. The failed $8.5B Tapestry merger (blocked by FTC in November 2024), the forced Versace sale to Prada, leadership instability with CEO John Idol taking on dual roles, and revenue decline across both remaining brands all reflect a company playing to survive the next quarter rather than building for decades of endurance. There is no articulated Just Cause, no evidence of courageous long-term investments, and the organizational culture is in flux following major structural upheaval.</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Capri Holdings exists to maximize shareholder value through luxury brand management — there is no articulated vision of a future state that transcends quarterly earnings. The attempted $8.5B sale to Tapestry was the ultimate finite game move: cashing out the entire company rather than building for the future [3]. Following the merger's collapse, the Versace divestiture and return-to-profitability focus further confirm that financial optimization, not purpose, drives strategic decisions. Sinek would identify Capri as a company without a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Capri Holdings has experienced significant leadership instability — CEO John Idol assumed dual role as Michael Kors CEO in January 2025 rather than appointing new brand leadership, Tyler Reddien was brought in as CFO/COO effective March 2026, and the entire organization has been restructured following the failed Tapestry merger and Versace divestiture [1][3]. This level of organizational upheaval erodes psychological safety and creates an environment where employees protect themselves rather than advance a shared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Capri competes with Tapestry (Coach, Kate Spade), LVMH, Kering, and Prada in the luxury and accessible luxury segments. The competitive language in earnings calls and press releases focuses on market positioning and financial performance rather than learning from competitors' strengths. The relationship with Tapestry — first a potential acquirer, now a competitor — exemplifies finite game thinking [3].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Capri's strategic shifts — the failed Tapestry merger, the Versace sale, the dual CEO structure — have been reactive responses to financial pressure rather than purpose-driven pivots [3]. The company has not demonstrated willingness to fundamentally reimagine its business model in service of a larger cause. Selling Versace was not existential flexibility; it was survival. The core business model (accessible luxury fashion retail) remains unchanged and under pressure.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Versace sale to Prada in December 2025, while driven by financial necessity, was a difficult decision to shed a prestigious luxury brand in order to reduce the $1.7B+ debt load and simplify the portfolio [3]. Returning to profitability ($80M net income in FY2026 vs -$526M loss in FY2025) required meaningful cost restructuring including inventory reduction of 17% [1]. However, these were reactive survival decisions rather than courageous long-term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Capri Holdings returned to profitability in FY2026 with $80M net income and Q4 gross margin expansion of 490bps to 64.8%, demonstrating that the Michael Kors and Jimmy Choo brands retain meaningful pricing power despite revenue headwinds [1]. At 9.9x forward earnings (FY2027 EPS guidance of $2.15, up 40% YoY) with a PEG of 0.39, the stock trades at a significant discount to luxury peers at 21x forward earnings, reflecting the market's skepticism about execution [4][6]. The Versace sale reduced net debt to $222M ($357M debt less $135M cash), improving balance sheet flexibility, and the company repurchased $79M in shares in Q4 FY2026, signaling management confidence in the turnaround [1].</w:t>
      </w:r>
    </w:p>
    <w:p>
      <w:pPr>
        <w:spacing w:after="120"/>
      </w:pPr>
      <w:r>
        <w:rPr>
          <w:rFonts w:ascii="Calibri" w:hAnsi="Calibri"/>
          <w:b w:val="0"/>
          <w:color w:val="3A4A28"/>
          <w:sz w:val="20"/>
        </w:rPr>
        <w:t>The bear case is severe: Michael Kors revenue has declined for multiple consecutive years (down 5.5% in Q4 FY2026) as the brand struggles in the accessible luxury segment where consumers increasingly favor either true luxury (Hermes, LVMH) or mass market alternatives [1]. Revenue of $3.47B in FY2026 represents a multi-year decline from the $5.5B+ peak, and the 5-year continuing operations CAGR is approximately -1%. D/E of 425% reflects a dangerously leveraged balance sheet with only $84M in stockholders' equity — a single bad quarter could push equity negative [1]. Leadership instability persists with CEO John Idol running both Capri Holdings and Michael Kors simultaneously, no clear brand strategy to reverse the Michael Kors decline, and organizational culture disrupted by the failed Tapestry merger and Versace sale [3]. The MISALIGNED Inspire score of -49 (Abortion Activism) creates a faith alignment headwind for values-aligned investors. Without a clear path to sustained revenue growth, the turnaround thesis depends entirely on margin management and financial engineering rather than brand vitality.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Michael Kors brand stabilization with FY2027 revenue target of $2.9B (up from $2.87B) and Jimmy Choo growth to $625M, supporting total revenue guidance of ~$3.525B (up 1.5%) [4]</w:t>
      </w:r>
    </w:p>
    <w:p>
      <w:pPr>
        <w:spacing w:before="40" w:after="40"/>
        <w:ind w:left="283"/>
      </w:pPr>
      <w:r>
        <w:rPr>
          <w:rFonts w:ascii="Calibri" w:hAnsi="Calibri"/>
          <w:b/>
          <w:color w:val="4A6B25"/>
          <w:sz w:val="20"/>
        </w:rPr>
        <w:t xml:space="preserve">2. </w:t>
      </w:r>
      <w:r>
        <w:rPr>
          <w:rFonts w:ascii="Calibri" w:hAnsi="Calibri"/>
          <w:b w:val="0"/>
          <w:color w:val="3A4A28"/>
          <w:sz w:val="20"/>
        </w:rPr>
        <w:t>FY2027 EPS guidance of $2.15 (40% growth) driven by continued gross margin expansion, inventory discipline (down 17% YoY), and operating cost control [1][4]</w:t>
      </w:r>
    </w:p>
    <w:p>
      <w:pPr>
        <w:spacing w:before="40" w:after="40"/>
        <w:ind w:left="283"/>
      </w:pPr>
      <w:r>
        <w:rPr>
          <w:rFonts w:ascii="Calibri" w:hAnsi="Calibri"/>
          <w:b/>
          <w:color w:val="4A6B25"/>
          <w:sz w:val="20"/>
        </w:rPr>
        <w:t xml:space="preserve">3. </w:t>
      </w:r>
      <w:r>
        <w:rPr>
          <w:rFonts w:ascii="Calibri" w:hAnsi="Calibri"/>
          <w:b w:val="0"/>
          <w:color w:val="3A4A28"/>
          <w:sz w:val="20"/>
        </w:rPr>
        <w:t>Potential strategic alternatives including brand licensing deals, further portfolio simplification, or a renewed acquisition offer as the stock trades at a significant discount to intrinsic brand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Michael Kors brand erosion accelerating as the accessible luxury segment loses share to both true luxury and fast fashion, with revenue declining 5.5% in Q4 FY2026 and no clear turnaround strategy articulated [1]</w:t>
      </w:r>
    </w:p>
    <w:p>
      <w:pPr>
        <w:spacing w:before="40" w:after="40"/>
        <w:ind w:left="283"/>
      </w:pPr>
      <w:r>
        <w:rPr>
          <w:rFonts w:ascii="Calibri" w:hAnsi="Calibri"/>
          <w:b/>
          <w:color w:val="4A6B25"/>
          <w:sz w:val="20"/>
        </w:rPr>
        <w:t xml:space="preserve">2. </w:t>
      </w:r>
      <w:r>
        <w:rPr>
          <w:rFonts w:ascii="Calibri" w:hAnsi="Calibri"/>
          <w:b w:val="0"/>
          <w:color w:val="3A4A28"/>
          <w:sz w:val="20"/>
        </w:rPr>
        <w:t>Balance sheet fragility with D/E of 425% and only $84M stockholders' equity — any revenue shortfall or restructuring charge could push equity negative and create debt covenant concerns [1]</w:t>
      </w:r>
    </w:p>
    <w:p>
      <w:pPr>
        <w:spacing w:before="40" w:after="40"/>
        <w:ind w:left="283"/>
      </w:pPr>
      <w:r>
        <w:rPr>
          <w:rFonts w:ascii="Calibri" w:hAnsi="Calibri"/>
          <w:b/>
          <w:color w:val="4A6B25"/>
          <w:sz w:val="20"/>
        </w:rPr>
        <w:t xml:space="preserve">3. </w:t>
      </w:r>
      <w:r>
        <w:rPr>
          <w:rFonts w:ascii="Calibri" w:hAnsi="Calibri"/>
          <w:b w:val="0"/>
          <w:color w:val="3A4A28"/>
          <w:sz w:val="20"/>
        </w:rPr>
        <w:t>Leadership concentration risk with CEO John Idol serving dual roles at Capri Holdings and Michael Kors, combined with significant organizational disruption from the failed Tapestry merger and Versace divestiture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Capri Holdings' luxury fashion business is structurally immune to AI displacement. Michael Kors and Jimmy Choo derive their value from brand heritage, physical product craftsmanship, designer prestige, and aspirational retail experiences — none of which AI can replicate or substitute [1]. Luxury goods purchasing is driven by emotional connection, social signaling, and tactile product qualities that exist entirely in the physical world. AI cannot manufacture luxury handbags, design shoes with brand cachet, or create the in-store luxury experience. The threat to Capri is shifting consumer preferences and competition from other luxury houses, not AI disruption. AI Opportunity (0/1): No AI-related revenue or products. Capri's digital transformation efforts focus on e-commerce optimization and data analytics rather than AI-powered revenue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Capri Holdings FY2026 Annual Results (8-K Filing) — SEC.gov, May 2026</w:t>
      </w:r>
    </w:p>
    <w:p>
      <w:pPr>
        <w:spacing w:before="20" w:after="20"/>
        <w:ind w:left="170"/>
      </w:pPr>
      <w:r>
        <w:rPr>
          <w:rFonts w:ascii="Calibri" w:hAnsi="Calibri"/>
          <w:b/>
          <w:color w:val="4A6B25"/>
          <w:sz w:val="15"/>
        </w:rPr>
        <w:t xml:space="preserve">2. </w:t>
      </w:r>
      <w:r>
        <w:rPr>
          <w:rFonts w:ascii="Calibri" w:hAnsi="Calibri"/>
          <w:b w:val="0"/>
          <w:color w:val="3A4A28"/>
          <w:sz w:val="17"/>
        </w:rPr>
        <w:t>Capri Holdings Q4 FY2026 Earnings Analysis — Quiver Quantitative, June 2026</w:t>
      </w:r>
    </w:p>
    <w:p>
      <w:pPr>
        <w:spacing w:before="20" w:after="20"/>
        <w:ind w:left="170"/>
      </w:pPr>
      <w:r>
        <w:rPr>
          <w:rFonts w:ascii="Calibri" w:hAnsi="Calibri"/>
          <w:b/>
          <w:color w:val="4A6B25"/>
          <w:sz w:val="15"/>
        </w:rPr>
        <w:t xml:space="preserve">3. </w:t>
      </w:r>
      <w:r>
        <w:rPr>
          <w:rFonts w:ascii="Calibri" w:hAnsi="Calibri"/>
          <w:b w:val="0"/>
          <w:color w:val="3A4A28"/>
          <w:sz w:val="17"/>
        </w:rPr>
        <w:t>Capri Holdings Versace Sale to Prada and Failed Tapestry Merger — Business of Fashion, December 2025</w:t>
      </w:r>
    </w:p>
    <w:p>
      <w:pPr>
        <w:spacing w:before="20" w:after="20"/>
        <w:ind w:left="170"/>
      </w:pPr>
      <w:r>
        <w:rPr>
          <w:rFonts w:ascii="Calibri" w:hAnsi="Calibri"/>
          <w:b/>
          <w:color w:val="4A6B25"/>
          <w:sz w:val="15"/>
        </w:rPr>
        <w:t xml:space="preserve">4. </w:t>
      </w:r>
      <w:r>
        <w:rPr>
          <w:rFonts w:ascii="Calibri" w:hAnsi="Calibri"/>
          <w:b w:val="0"/>
          <w:color w:val="3A4A28"/>
          <w:sz w:val="17"/>
        </w:rPr>
        <w:t>Capri Holdings FY2027 Revenue and EPS Guidance — grafa.com, May 2026</w:t>
      </w:r>
    </w:p>
    <w:p>
      <w:pPr>
        <w:spacing w:before="20" w:after="20"/>
        <w:ind w:left="170"/>
      </w:pPr>
      <w:r>
        <w:rPr>
          <w:rFonts w:ascii="Calibri" w:hAnsi="Calibri"/>
          <w:b/>
          <w:color w:val="4A6B25"/>
          <w:sz w:val="15"/>
        </w:rPr>
        <w:t xml:space="preserve">5. </w:t>
      </w:r>
      <w:r>
        <w:rPr>
          <w:rFonts w:ascii="Calibri" w:hAnsi="Calibri"/>
          <w:b w:val="0"/>
          <w:color w:val="3A4A28"/>
          <w:sz w:val="17"/>
        </w:rPr>
        <w:t>Capri Holdings Social Responsibility and ESG Progress Report — TheIndustry.fashion, 2022</w:t>
      </w:r>
    </w:p>
    <w:p>
      <w:pPr>
        <w:spacing w:before="20" w:after="20"/>
        <w:ind w:left="170"/>
      </w:pPr>
      <w:r>
        <w:rPr>
          <w:rFonts w:ascii="Calibri" w:hAnsi="Calibri"/>
          <w:b/>
          <w:color w:val="4A6B25"/>
          <w:sz w:val="15"/>
        </w:rPr>
        <w:t xml:space="preserve">6. </w:t>
      </w:r>
      <w:r>
        <w:rPr>
          <w:rFonts w:ascii="Calibri" w:hAnsi="Calibri"/>
          <w:b w:val="0"/>
          <w:color w:val="3A4A28"/>
          <w:sz w:val="17"/>
        </w:rPr>
        <w:t>Yahoo Finance — CPRI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