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CPT</w:t>
      </w:r>
      <w:r>
        <w:rPr>
          <w:rFonts w:ascii="Calibri" w:hAnsi="Calibri"/>
          <w:b/>
          <w:color w:val="1A2010"/>
          <w:sz w:val="40"/>
        </w:rPr>
        <w:t xml:space="preserve">  Camden Property Trust</w:t>
      </w:r>
    </w:p>
    <w:p>
      <w:pPr>
        <w:spacing w:after="120"/>
      </w:pPr>
      <w:r>
        <w:rPr>
          <w:rFonts w:ascii="Calibri" w:hAnsi="Calibri"/>
          <w:b/>
          <w:color w:val="6E8450"/>
          <w:sz w:val="18"/>
        </w:rPr>
        <w:t>DIVIDEND SLEEVE · 2026-08-05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Camden Property Trust is an S&amp;P 500 multifamily REIT that owns, manages, develops, and operates apartment communities across the United States. As of mid-2026, Camden holds interests in approximately 177 properties with nearly 60,000 apartment homes, concentrated in Sun Belt markets including Houston, Dallas, Phoenix, Nashville, Tampa, and Atlanta. In 2026, Camden executed a transformative $1.625B exit from California to double down on Sun Belt growth, while repurchasing $694M of its own shares at an average price of $105.17. New CEO Alex Jessett succeeded co-founder Ric Campo in 2025.</w:t>
      </w:r>
    </w:p>
    <w:p>
      <w:r>
        <w:rPr>
          <w:rFonts w:ascii="Calibri" w:hAnsi="Calibri"/>
          <w:b/>
          <w:color w:val="6E8450"/>
          <w:sz w:val="18"/>
        </w:rPr>
        <w:t>1,640 Employees · https://www.camdenliving.com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Camden's $1.625B California exit and redeployment into younger Sun Belt assets represents significant portfolio repositioning, but the core business model — owning and managing apartments — remains unchanged [1]. The company sold 19-year-old California assets and bought 5-year-old Sun Belt properties, optimizing geography without transforming operations. AI Deployment (1/2): Camden has deployed AI for tenant screening (analyzing applications, credit scores, rental histories), predictive maintenance (forecasting equipment failures from historical data), and operational efficiency across its portfolio, though specific cost savings have not been publicly quantified [2]. Market Share (1/2): Camden is a meaningful S&amp;P 500 multifamily REIT with ~60,000 units across the Sun Belt, but it is one of several major apartment REITs (AvalonBay, Equity Residential, MAA) without dominant market share in any metro [1]. Product Pipeline (1/2): Three communities under development adding approximately 1,162 units provide near-term growth visibility, but the pipeline is modest relative to the 60,000-unit existing portfolio. R&amp;D Intensity (0/1): REITs do not have traditional R&amp;D spending; Camden's technology investment is at industry standard for multifamily operators.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Camden's purpose centers on creating exceptional living experiences and building thriving communities — clear and identifies what the company does but not distinctive enough to differentiate from peer apartment REITs [2]. It does not articulate a transformative vision beyond providing quality housing. Community Impact (1/2): Camden maintains ESG programs covering energy reduction, waste diversion, and water conservation, earning a Sustainalytics ESG Risk Score of 16 (Low) [3]. However, specific dollar amounts for charitable giving or community investment were not identified. Employee Retention (2/2): Camden is consistently ranked among Fortune's 100 Best Companies to Work For, maintains a Glassdoor rating of 4.5/5 with 93% of employees recommending the company and 89% expressing positive business outlook [2]. Co-founder Ric Campo's 30+ year tenure created a leadership culture that employees describe as compassionate and empowering. Insider Buying (0/2): Richard Campo sold approximately 45,000 shares on-market in February 2026, reducing personal holdings by $6.3M — net insider selling over the past 12 months [1]. The $694M share buyback is a corporate action,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REIT depreciation accounting distorts Forward P/E (75.5x) and payout ratio (118.6%) — on a Core FFO basis, the stock trades at approximately 17x FFO and the dividend is well-covered, but the rubric applies GAAP metrics mechanically [4]. D/E of 104% is moderate for a REIT model. ROE of 8.7% reflects REIT capital structure but falls well below the 15% target. Profit margin of 24.5% exceeds the 20% target. Revenue growth is anemic at approximately 1% YoY with guided same-store revenue growth of only 0.5% excluding California, as elevated apartment supply in Austin and Denver pressures rents [1]. Five-year revenue CAGR of 3.4% is below the 10% target. The dividend profile anchors the score: 33 consecutive years of payments with 4 years of growth, though 5-year CAGR of 4.8% trails the 6% target. Liquidity passes: ~1.2M shares × $113.70 = $136M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Camden exhibits strong infinite-game qualities: a founder-CEO (Ric Campo) whose 30+ year tenure built one of America's best corporate cultures (Fortune 100 Best Companies), an orderly leadership succession to Alex Jessett, and 33 consecutive years of dividend payments. The $1.625B California exit demonstrates strategic flexibility — willingness to walk away from a $1.5B+ market that no longer aligned with the company's operational philosophy. The $53M RealPage antitrust settlement remains a governance blemish, but the cultural foundation and leadership continuity suggest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Camden's purpose of creating exceptional living communities has been validated by three decades of consistent execution under co-founder Ric Campo's leadership [2]. The company's focus on resident experience and community-building goes beyond pure financial optimization — evidenced by consistent recognition as a top employer and investment in community amenities that prioritize quality of life. CEO Jessett's continuation of this philosophy and the principled California exit (citing regulatory burden) demonstrate the cause shaping strategic decisions. However, the purpose has not been tested through truly existential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a high-trust organization. Camden has been named to Fortune's 100 Best Companies to Work For list repeatedly, maintains a 4.5/5 Glassdoor rating with 93% of employees recommending the company, and employees describe leadership as 'leading with compassion' with a 'supportive and inclusive' culture [2]. Ric Campo's philosophy of empowering people and getting out of the way created genuine psychological safety. This is one of the strongest Trusting Teams scores in the IOWN universe.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Camden's management discusses peer REITs like AvalonBay, Equity Residential, and MAA in terms of market positioning and strategic differentiation rather than zero-sum competitive language [1]. The California exit and Sun Belt focus reflect strategic self-awareness informed by competitive dynamics — playing to strengths rather than attempting to dominate all markets.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$1.625B California exit represents a meaningful strategic pivot — Camden walked away from an entire major market, selling all 11 California properties and reinvesting in younger Sun Belt assets [1]. Co-founder Campo characterized it as selling '19-year-old assets in California and buying 5-year-old assets in the Sun Belt while repurchasing stock at a massive discount to NAV — a remarkable capital allocation outcome.' While the core REIT business model is unchanged, the geographic repositioning demonstrates willingness to make bold portfolio decisions. The REIT structure inherently constrains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California exit required courage — walking away from a $1.625B market to escape regulatory burden, while simultaneously deploying $694M in share buybacks at perceived NAV discounts [1]. Camden maintained dividends through the 2008-2009 financial crisis (though reduced) and has grown them every year since 2022. However, the $53M antitrust settlement over alleged use of RealPage algorithmic pricing to coordinate rents represents a failure of ethical leadership that partially offsets the positive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Camden Property Trust offers a high-quality, Sun Belt-focused multifamily portfolio backed by one of the best corporate cultures in America (Fortune 100 Best Companies, Glassdoor 4.5/5) and 33 consecutive years of dividend payments at a 3.76% yield [2][4]. The $1.625B California exit — selling 11 properties and redeploying into younger Sun Belt assets — is a masterclass in capital allocation, reducing regulatory drag by approximately 80 basis points of annual NOI [1]. The concurrent $694M share buyback at an average $105.17/share (below current price of $113.70) has already generated value. Exposure to Sun Belt markets positioned near AI infrastructure build-out (Dallas, Houston, Phoenix) provides secular tailwind from technology-driven population migration. The orderly CEO succession from Campo to Jessett ensures cultural and strategic continuity.</w:t>
      </w:r>
    </w:p>
    <w:p>
      <w:pPr>
        <w:spacing w:after="120"/>
      </w:pPr>
      <w:r>
        <w:rPr>
          <w:rFonts w:ascii="Calibri" w:hAnsi="Calibri"/>
          <w:b w:val="0"/>
          <w:color w:val="3A4A28"/>
          <w:sz w:val="20"/>
        </w:rPr>
        <w:t>The bear case centers on supply-driven rent pressure and stagnant growth. Q2 2026 blended lease rate growth was negative 0.2% (new leases -3.3%, renewals +2.8%), and same-store revenue growth guidance of 0.5% excluding California indicates a near-zero growth environment [1]. FY2026 EPS guidance of $6.68-$6.82 reflects earnings compression, and the GAAP payout ratio of 119% exceeds earnings (though covered by FFO). Elevated apartment supply deliveries in Austin and Denver continue to pressure rents and occupancy in key markets. D/E of 104% creates interest rate sensitivity, and higher-for-longer rates compress the spread between Camden's 3.76% yield and risk-free alternatives. The $53M RealPage antitrust settlement raises governance questions with potential for further legal exposure from ongoing industry-wide litigation. Richard Campo's net insider selling of $6.3M undermines the conviction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 Belt apartment supply wave expected to peak in 2026 and decline sharply in 2027-2028, which should improve pricing power and restore positive blended lease rate growth across Camden's core markets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build-out driving technology employment growth in Camden's Sun Belt markets (Dallas, Houston, Phoenix, Nashville), accelerating population migration and apartment demand near major tech campuses</w:t>
      </w:r>
    </w:p>
    <w:p>
      <w:pPr>
        <w:spacing w:before="40" w:after="40"/>
        <w:ind w:left="283"/>
      </w:pPr>
      <w:r>
        <w:rPr>
          <w:rFonts w:ascii="Calibri" w:hAnsi="Calibri"/>
          <w:b/>
          <w:color w:val="4A6B25"/>
          <w:sz w:val="20"/>
        </w:rPr>
        <w:t xml:space="preserve">3. </w:t>
      </w:r>
      <w:r>
        <w:rPr>
          <w:rFonts w:ascii="Calibri" w:hAnsi="Calibri"/>
          <w:b w:val="0"/>
          <w:color w:val="3A4A28"/>
          <w:sz w:val="20"/>
        </w:rPr>
        <w:t>California exit completion saves approximately 80 basis points of annual NOI in regulatory costs while redeploying $1.625B into younger, higher-growth Sun Belt assets with better long-term return profiles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Blended lease rate growth of -0.2% in Q2 2026 and guided same-store revenue growth of only 0.5% (ex-California) indicate a near-zero growth environment driven by elevated apartment supply in Austin, Denver, and other Sun Belt markets [1]</w:t>
      </w:r>
    </w:p>
    <w:p>
      <w:pPr>
        <w:spacing w:before="40" w:after="40"/>
        <w:ind w:left="283"/>
      </w:pPr>
      <w:r>
        <w:rPr>
          <w:rFonts w:ascii="Calibri" w:hAnsi="Calibri"/>
          <w:b/>
          <w:color w:val="4A6B25"/>
          <w:sz w:val="20"/>
        </w:rPr>
        <w:t xml:space="preserve">2. </w:t>
      </w:r>
      <w:r>
        <w:rPr>
          <w:rFonts w:ascii="Calibri" w:hAnsi="Calibri"/>
          <w:b w:val="0"/>
          <w:color w:val="3A4A28"/>
          <w:sz w:val="20"/>
        </w:rPr>
        <w:t>The $53M RealPage antitrust settlement over alleged algorithmic rent coordination creates reputational risk, and ongoing industry-wide litigation could result in additional legal exposure or regulatory scrutiny</w:t>
      </w:r>
    </w:p>
    <w:p>
      <w:pPr>
        <w:spacing w:before="40" w:after="40"/>
        <w:ind w:left="283"/>
      </w:pPr>
      <w:r>
        <w:rPr>
          <w:rFonts w:ascii="Calibri" w:hAnsi="Calibri"/>
          <w:b/>
          <w:color w:val="4A6B25"/>
          <w:sz w:val="20"/>
        </w:rPr>
        <w:t xml:space="preserve">3. </w:t>
      </w:r>
      <w:r>
        <w:rPr>
          <w:rFonts w:ascii="Calibri" w:hAnsi="Calibri"/>
          <w:b w:val="0"/>
          <w:color w:val="3A4A28"/>
          <w:sz w:val="20"/>
        </w:rPr>
        <w:t>D/E of 104% and GAAP payout ratio of 119% create sensitivity to higher-for-longer interest rates, which increase financing costs on approximately $4.3B of debt and reduce the attractiveness of the 3.76% yield versus risk-free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Camden Property Trust owns and operates physical apartment buildings — AI cannot replace the fundamental human need for housing. Multifamily real estate is structurally immune to AI disruption: people require physical living spaces, and the ownership of real property behind regulatory, zoning, and capital barriers makes this business model impervious to digital substitution [1]. AI actually serves as a tailwind: growing AI infrastructure investment drives employment growth in Camden's Sun Belt markets (Dallas, Houston, Phoenix, Nashville), increasing apartment demand near technology hubs. No analysts flag AI as a disruption risk to residential REITs. AI Opportunity (0/1): While Camden uses AI operationally for tenant screening and predictive maintenance, it does not generate revenue from AI products or services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Camden Property Trust Q2 2026 Earnings Call — California Exit for $1.625B, $694M Buyback, Blended Lease Growth -0.2%, FY2026 Guidance,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Camden Property Trust Glassdoor Reviews and Culture — Fortune 100 Best Companies, 4.5/5 Rating, 93% Recommend, Leadership Philosophy,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Camden Property Trust ESG Risk Rating — Sustainalytics Low Risk Score 16, Low Controversy Level,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Macrotrends — CPT Key Statistics, Dividend History,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