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w:t>
      </w:r>
      <w:r>
        <w:rPr>
          <w:rFonts w:ascii="Calibri" w:hAnsi="Calibri"/>
          <w:b/>
          <w:color w:val="1A2010"/>
          <w:sz w:val="40"/>
        </w:rPr>
        <w:t xml:space="preserve">  Canadian Pacific Kansas City Limited</w:t>
      </w:r>
    </w:p>
    <w:p>
      <w:pPr>
        <w:spacing w:after="120"/>
      </w:pPr>
      <w:r>
        <w:rPr>
          <w:rFonts w:ascii="Calibri" w:hAnsi="Calibri"/>
          <w:b/>
          <w:color w:val="6E8450"/>
          <w:sz w:val="18"/>
        </w:rPr>
        <w:t>GROWTH SLEEVE · 2026-07-13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Canada</w:t>
      </w:r>
    </w:p>
    <w:p>
      <w:pPr>
        <w:spacing w:after="80"/>
      </w:pPr>
      <w:r>
        <w:rPr>
          <w:rFonts w:ascii="Calibri" w:hAnsi="Calibri"/>
          <w:b w:val="0"/>
          <w:color w:val="3A4A28"/>
          <w:sz w:val="20"/>
        </w:rPr>
        <w:t>Canadian Pacific Kansas City (CPKC) is the first and only transnational Class I railroad linking Canada, the United States, and Mexico via a single-line network of approximately 20,000 route miles. Formed by the April 2023 combination of Canadian Pacific and Kansas City Southern ($31B), CPKC is led by President and CEO Keith Creel (13+ year tenure). Market cap $80.1B.</w:t>
      </w:r>
    </w:p>
    <w:p>
      <w:r>
        <w:rPr>
          <w:rFonts w:ascii="Calibri" w:hAnsi="Calibri"/>
          <w:b/>
          <w:color w:val="6E8450"/>
          <w:sz w:val="18"/>
        </w:rPr>
        <w:t>20,000 Employees · https://www.cpkcr.com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$31B combination of CP and Kansas City Southern in April 2023 created the only single-line tri-national railroad in North American history — a transformative strategic achievement [1][3]. FY2025 revenue of C$15.1B (+4% YoY) with core adjusted operating ratio improving 140 bps to industry-best 59.9%, and Q4 2025 achieving a record 55.9% OR [1]. AI Deployment (2/2): CPKC has deployed AI with measurable results: wayside acoustic bearing sensors using patented algorithms predict wheel bearing failures up to three months in advance, reducing bearing-related failures by more than 90% [3]. An AI-powered waterbody monitoring system scans 1.2 million waterbodies across 12,600 miles using remote sensing, with AI analyzing images and sending alerts for potential hazards [3]. Market Share (1/2): CPKC holds a unique and unreplicable competitive position as the only single-line rail connection across Canada, the US, and Mexico, but operates within a Class I railroad oligopoly where share dynamics are constrained [3]. Pipeline (1/2): Hydrogen locomotive joint venture with CSX for decarbonization; $250M automotive synergy revenue delivered three years ahead of schedule; 2026 guidance targets mid-single-digit volume growth [1]. R&amp;D Intensity (0/1): Railroad capex of ~C$3B annually is infrastructure-focused rather than R&amp;D-intensive.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CPKC frames its tri-national railroad as connecting North American supply chains more efficiently while reducing GHG emissions through rail's modal advantage over trucking — a specific, thoughtful mission that differentiates from single-country peers [3][4]. The vision of enabling nearshoring across three countries connects the company's work to a larger economic and environmental purpose. Community Impact (1/2): CPKC publishes annual sustainability reports with GHG and safety disclosures, and the 2026 Say on Climate vote received 88.72% shareholder approval [4]. However, the November 2025 Kamloops derailment that leaked ~70,000 litres of jet fuel into Kamloops Lake on traditional First Nations territory underscores ongoing environmental risk [4]. Employee Retention (1/2): Keith Creel's 13+ year tenure as CEO (appointed February 2013, two-time Railway Age Railroader of the Year 2021 and 2022, Railroad Innovator Award 2024) demonstrates exceptional leadership continuity [5]. CPKC has secured labor stability through 2027 with all major labor contracts [3]. Insider Buying (0/2): No meaningful personal insider buying identified. The 5% share repurchase program and 17.5% quarterly dividend increase signal corporate capital return conviction but are not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D/E of 51% scores perfectly against the 70% target — manageable leverage for a capital-intensive railroad with durable cash flows [6]. Profit margin of 27.21% scores 1.0, reflecting best-in-class operating efficiency with the industry-leading 59.9% operating ratio [1]. Forward P/E of 24.32 scores 0.89 (modestly above target) and Forward PEG of 1.42 scores 0.79, reflecting premium but not excessive valuation for a compounding franchise. ROE of 8.43% scores 0.56 — lower than the headline suggests due to the elevated equity base from the KCS combination. Revenue growth YoY of ~2% (dragged by Q1 2026 C$3.7B revenue, down 2% vs expectations) and 5yr CAGR of ~11% (including KCS inorganic contribution) score 0.73 and 1.0 respectively. Weighted sum: 8.20/10, rounding to 8. Liquidity passes: 2.53M avg volume x $90.12 = $228M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CPKC under Keith Creel is playing a long-dated strategic game. The first-and-only tri-nation rail network is a multi-decade asset conceived through years of patient planning and regulatory navigation. Creel's 13-year tenure, consistent operating-ratio improvement, and early delivery of $250M automotive synergies show disciplined compounding. However, the Kamloops derailment and Q1 2026 miss temper the narrative, and the company's mission language, while distinctive, hasn't been tested through multiple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Connecting three nations with a single-line, lower-carbon freight network is a genuine and distinctive purpose that will outlast any individual CEO or economic cycle [3]. The modal shift from truck to rail is a measurable decarbonization lever aligned with climate goals. However, the cause has only been operational since April 2023 and hasn't yet been tested through crisis or leadership transition — it remains partially lived rather than decades-validated.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Creel's 13-year tenure, the early delivery of CP-KCS integration synergies, and labor stability through 2027 (all major contracts secured) suggest a well-functioning organization with adequate trust [3][5]. Q4 2025 set network records in train weight, speed, locomotive productivity, and car-miles-per-day, which requires team-level execution excellence [1]. However, technology changeover-related service disruptions in 2025 and the Q1 2026 miss suggest integration stress across the combined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CPKC benchmarks explicitly against Union Pacific, BNSF, CN, Norfolk Southern, and CSX on operating ratio, velocity, and safety — an industry that tracks peer metrics openly [1]. Creel's statement that he's 'not drinking the merger Kool-Aid' regarding further consolidation reflects awareness of competitive dynamics. The hydrogen locomotive JV with CSX demonstrates collaborative competition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$31B Kansas City Southern acquisition in April 2023 was a genuine existential pivot — transforming CP from a two-nation railroad into the only tri-national Class I franchise in North America, unlocking nearshoring exposure and Mexico-US-Canada cross-border volumes [3]. This was not incremental — it fundamentally redefined the company's competitive positioning and addressable market. Creel fought off a competing bid from CN and navigated three-country regulatory approval over multiple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multi-year pursuit and $31B closure of the KCS deal — fighting off CN's competing bid, navigating STB/Transport Canada/Mexico regulatory approvals, and taking on significant debt — demonstrates real conviction in the tri-national vision [3]. However, the November 2025 Kamloops derailment (70,000 litres of jet fuel) and technology changeover service disruptions raise questions about whether operational safety and service quality were given sufficient priority during the aggressive integration push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Pacific Kansas City is the only tri-national Class I railroad in North America, an unreplicable franchise created by the $31B combination of CP and Kansas City Southern in April 2023 [3]. FY2025 delivered C$15.1B revenue (+4% YoY) with core adjusted operating ratio improving 140 bps to an industry-best 59.9%, and Q4 2025 achieved a record 55.9% OR [1]. 2026 guidance targets mid-single-digit volume growth and low-double-digit core adjusted EPS growth to C$4.61, supported by a 17.5% quarterly dividend increase and a new 5% share repurchase program [1]. At $90.12 with a Forward PE of 24.3x and PEG of 1.42, CPKC is priced as a premium compounder with D/E of just 51%, profit margin of 27.2%, and durable cash flows from the only single-line Canada-US-Mexico rail network [6]. Keith Creel's 13-year tenure and two Railroad Innovator Awards validate leadership quality [5].</w:t>
      </w:r>
    </w:p>
    <w:p>
      <w:pPr>
        <w:spacing w:after="120"/>
      </w:pPr>
      <w:r>
        <w:rPr>
          <w:rFonts w:ascii="Calibri" w:hAnsi="Calibri"/>
          <w:b w:val="0"/>
          <w:color w:val="3A4A28"/>
          <w:sz w:val="20"/>
        </w:rPr>
        <w:t>The bear case centers on growth deceleration and operational risks. Q1 2026 missed expectations with revenue of C$3.7B (down 2% YoY) and core adjusted EPS of C$1.04 vs C$1.08 consensus, with operating ratio deteriorating 50 bps to 63.0% from fuel and FX headwinds [2]. Technology changeover-related service disruptions have caused elevated delays and congestion across parts of the network. The November 2025 Kamloops derailment that leaked 70,000 litres of jet fuel into Kamloops Lake on First Nations territory creates environmental, reputational, and litigation risk [4]. CPKC's tri-national franchise is directly exposed to US-Mexico trade policy and tariff volatility — any disruption to nearshoring flows or cross-border volumes would compress the growth premium. ROE of 8.43% is modest for a premium-valued franchise, and the 0.77% dividend yield offers minimal income support during drawdowns.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low-double-digit core adjusted EPS growth to C$4.61 target, driven by continued operating ratio improvement from KCS integration synergies and mid-single-digit volume recovery [1]</w:t>
      </w:r>
    </w:p>
    <w:p>
      <w:pPr>
        <w:spacing w:before="40" w:after="40"/>
        <w:ind w:left="283"/>
      </w:pPr>
      <w:r>
        <w:rPr>
          <w:rFonts w:ascii="Calibri" w:hAnsi="Calibri"/>
          <w:b/>
          <w:color w:val="4A6B25"/>
          <w:sz w:val="20"/>
        </w:rPr>
        <w:t xml:space="preserve">2. </w:t>
      </w:r>
      <w:r>
        <w:rPr>
          <w:rFonts w:ascii="Calibri" w:hAnsi="Calibri"/>
          <w:b w:val="0"/>
          <w:color w:val="3A4A28"/>
          <w:sz w:val="20"/>
        </w:rPr>
        <w:t>Nearshoring-driven Mexico-US-Canada freight volumes uniquely routed on the single-line CPKC network, with $250M automotive synergies already delivered three years ahead of schedule [3]</w:t>
      </w:r>
    </w:p>
    <w:p>
      <w:pPr>
        <w:spacing w:before="40" w:after="40"/>
        <w:ind w:left="283"/>
      </w:pPr>
      <w:r>
        <w:rPr>
          <w:rFonts w:ascii="Calibri" w:hAnsi="Calibri"/>
          <w:b/>
          <w:color w:val="4A6B25"/>
          <w:sz w:val="20"/>
        </w:rPr>
        <w:t xml:space="preserve">3. </w:t>
      </w:r>
      <w:r>
        <w:rPr>
          <w:rFonts w:ascii="Calibri" w:hAnsi="Calibri"/>
          <w:b w:val="0"/>
          <w:color w:val="3A4A28"/>
          <w:sz w:val="20"/>
        </w:rPr>
        <w:t>New 5% share repurchase program and 17.5% quarterly dividend increase to C$0.268/share demonstrating capital return discipline alongside organic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miss (C$1.04 EPS vs C$1.08 consensus, 63.0% OR up 50bps) and technology-related service disruptions signal integration execution risk and growth deceleration from FY2025 levels [2]</w:t>
      </w:r>
    </w:p>
    <w:p>
      <w:pPr>
        <w:spacing w:before="40" w:after="40"/>
        <w:ind w:left="283"/>
      </w:pPr>
      <w:r>
        <w:rPr>
          <w:rFonts w:ascii="Calibri" w:hAnsi="Calibri"/>
          <w:b/>
          <w:color w:val="4A6B25"/>
          <w:sz w:val="20"/>
        </w:rPr>
        <w:t xml:space="preserve">2. </w:t>
      </w:r>
      <w:r>
        <w:rPr>
          <w:rFonts w:ascii="Calibri" w:hAnsi="Calibri"/>
          <w:b w:val="0"/>
          <w:color w:val="3A4A28"/>
          <w:sz w:val="20"/>
        </w:rPr>
        <w:t>November 2025 Kamloops derailment with 70,000 litre jet fuel leak on First Nations territory creates environmental, reputational, and litigation risk that undermines the sustainability narrative [4]</w:t>
      </w:r>
    </w:p>
    <w:p>
      <w:pPr>
        <w:spacing w:before="40" w:after="40"/>
        <w:ind w:left="283"/>
      </w:pPr>
      <w:r>
        <w:rPr>
          <w:rFonts w:ascii="Calibri" w:hAnsi="Calibri"/>
          <w:b/>
          <w:color w:val="4A6B25"/>
          <w:sz w:val="20"/>
        </w:rPr>
        <w:t xml:space="preserve">3. </w:t>
      </w:r>
      <w:r>
        <w:rPr>
          <w:rFonts w:ascii="Calibri" w:hAnsi="Calibri"/>
          <w:b w:val="0"/>
          <w:color w:val="3A4A28"/>
          <w:sz w:val="20"/>
        </w:rPr>
        <w:t>US-Mexico trade and tariff volatility directly exposing the tri-national franchise to cross-border volume disruption — any nearshoring reversal would compress the growth premium at the current 24.3x forward PE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Railroads are structurally immune to AI disruption — AI cannot replicate 20,000 route miles of track, locomotives, terminals, and cross-border operating rights regulated by the STB, Transport Canada, and Mexico's SCT [3]. Freight rail's energy and cost advantage over trucking strengthens as supply chains prioritize decarbonization, and CPKC's tri-national single-line network is a physically unreplicable asset. AI actually enhances railroad operations through predictive maintenance and network optimization. AI Opportunity (0/1): CPKC deploys AI internally for bearing failure prediction (90% reduction), waterbody monitoring (1.2M waterbodies scanned), and network optimization [3], but does not generate direct revenue from AI products or services sold to external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CPKC Q4 and Full-Year 2025 Earnings Release and 2026 Guidance — SEC 8-K Filing, January 2026</w:t>
      </w:r>
    </w:p>
    <w:p>
      <w:pPr>
        <w:spacing w:before="20" w:after="20"/>
        <w:ind w:left="170"/>
      </w:pPr>
      <w:r>
        <w:rPr>
          <w:rFonts w:ascii="Calibri" w:hAnsi="Calibri"/>
          <w:b/>
          <w:color w:val="4A6B25"/>
          <w:sz w:val="15"/>
        </w:rPr>
        <w:t xml:space="preserve">2. </w:t>
      </w:r>
      <w:r>
        <w:rPr>
          <w:rFonts w:ascii="Calibri" w:hAnsi="Calibri"/>
          <w:b w:val="0"/>
          <w:color w:val="3A4A28"/>
          <w:sz w:val="17"/>
        </w:rPr>
        <w:t>CPKC Q1 2026 Earnings Release — C$3.7B revenue, C$1.04 core adj EPS, 63.0% OR — SEC 8-K Filing, April 2026</w:t>
      </w:r>
    </w:p>
    <w:p>
      <w:pPr>
        <w:spacing w:before="20" w:after="20"/>
        <w:ind w:left="170"/>
      </w:pPr>
      <w:r>
        <w:rPr>
          <w:rFonts w:ascii="Calibri" w:hAnsi="Calibri"/>
          <w:b/>
          <w:color w:val="4A6B25"/>
          <w:sz w:val="15"/>
        </w:rPr>
        <w:t xml:space="preserve">3. </w:t>
      </w:r>
      <w:r>
        <w:rPr>
          <w:rFonts w:ascii="Calibri" w:hAnsi="Calibri"/>
          <w:b w:val="0"/>
          <w:color w:val="3A4A28"/>
          <w:sz w:val="17"/>
        </w:rPr>
        <w:t>CPKC Corporate Overview — cpkcr.com: tri-national network, AI innovation (wayside sensors, waterbody monitoring), hydrogen locomotive JV, labor stability through 2027</w:t>
      </w:r>
    </w:p>
    <w:p>
      <w:pPr>
        <w:spacing w:before="20" w:after="20"/>
        <w:ind w:left="170"/>
      </w:pPr>
      <w:r>
        <w:rPr>
          <w:rFonts w:ascii="Calibri" w:hAnsi="Calibri"/>
          <w:b/>
          <w:color w:val="4A6B25"/>
          <w:sz w:val="15"/>
        </w:rPr>
        <w:t xml:space="preserve">4. </w:t>
      </w:r>
      <w:r>
        <w:rPr>
          <w:rFonts w:ascii="Calibri" w:hAnsi="Calibri"/>
          <w:b w:val="0"/>
          <w:color w:val="3A4A28"/>
          <w:sz w:val="17"/>
        </w:rPr>
        <w:t>CPKC ESG and Governance — 2026 Annual Meeting: Say on Climate 88.72% approval; Kamloops derailment coverage, November 2025</w:t>
      </w:r>
    </w:p>
    <w:p>
      <w:pPr>
        <w:spacing w:before="20" w:after="20"/>
        <w:ind w:left="170"/>
      </w:pPr>
      <w:r>
        <w:rPr>
          <w:rFonts w:ascii="Calibri" w:hAnsi="Calibri"/>
          <w:b/>
          <w:color w:val="4A6B25"/>
          <w:sz w:val="15"/>
        </w:rPr>
        <w:t xml:space="preserve">5. </w:t>
      </w:r>
      <w:r>
        <w:rPr>
          <w:rFonts w:ascii="Calibri" w:hAnsi="Calibri"/>
          <w:b w:val="0"/>
          <w:color w:val="3A4A28"/>
          <w:sz w:val="17"/>
        </w:rPr>
        <w:t>Keith Creel Executive Profile — cpkcr.com, Progressive Railroading: 13+ year CEO tenure, Railroad Innovator Award 2014/2024, Railroader of the Year 2021/2022</w:t>
      </w:r>
    </w:p>
    <w:p>
      <w:pPr>
        <w:spacing w:before="20" w:after="20"/>
        <w:ind w:left="170"/>
      </w:pPr>
      <w:r>
        <w:rPr>
          <w:rFonts w:ascii="Calibri" w:hAnsi="Calibri"/>
          <w:b/>
          <w:color w:val="4A6B25"/>
          <w:sz w:val="15"/>
        </w:rPr>
        <w:t xml:space="preserve">6. </w:t>
      </w:r>
      <w:r>
        <w:rPr>
          <w:rFonts w:ascii="Calibri" w:hAnsi="Calibri"/>
          <w:b w:val="0"/>
          <w:color w:val="3A4A28"/>
          <w:sz w:val="17"/>
        </w:rPr>
        <w:t>StockAnalysis.com — CP statistics: $90.12 price, PE 27.43, Forward PE 24.32, PEG 1.42, D/E 51%, ROE 8.43%, profit margin 27.21%,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