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CREG</w:t>
      </w:r>
      <w:r>
        <w:rPr>
          <w:rFonts w:ascii="Calibri" w:hAnsi="Calibri"/>
          <w:b/>
          <w:color w:val="1A2010"/>
          <w:sz w:val="40"/>
        </w:rPr>
        <w:t xml:space="preserve">  Smart Powerr Corp.</w:t>
      </w:r>
    </w:p>
    <w:p>
      <w:pPr>
        <w:spacing w:after="120"/>
      </w:pPr>
      <w:r>
        <w:rPr>
          <w:rFonts w:ascii="Calibri" w:hAnsi="Calibri"/>
          <w:b/>
          <w:color w:val="6E8450"/>
          <w:sz w:val="18"/>
        </w:rPr>
        <w:t>GROWTH SLEEVE · 2026-07-18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 NASDAQ · China</w:t>
      </w:r>
    </w:p>
    <w:p>
      <w:pPr>
        <w:spacing w:after="80"/>
      </w:pPr>
      <w:r>
        <w:rPr>
          <w:rFonts w:ascii="Calibri" w:hAnsi="Calibri"/>
          <w:b w:val="0"/>
          <w:color w:val="3A4A28"/>
          <w:sz w:val="20"/>
        </w:rPr>
        <w:t>Smart Powerr Corp. (formerly China Recycling Energy Corporation, renamed in 2022) is a Nevada-incorporated holding company that develops waste energy recycling projects for energy-intensive industrial clients in China using a Build-Operate-Transfer model, including waste gas, waste heat, and biomass power generation. The company is headquartered in Xi'an, China and was founded in 1980.</w:t>
      </w:r>
    </w:p>
    <w:p>
      <w:r>
        <w:rPr>
          <w:rFonts w:ascii="Calibri" w:hAnsi="Calibri"/>
          <w:b/>
          <w:color w:val="6E8450"/>
          <w:sz w:val="18"/>
        </w:rPr>
        <w:t>22 Employees · https://www.creg-cn.com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specific new product launches, market pivots, or business-model transformations were identified in the last five years beyond the 2022 name change from China Recycling Energy Corp to Smart Powerr Corp; TTM revenue of just $350K shows no evidence of the stated 'energy storage solutions' repositioning translating into commercial activity [1][2]. AI Deployment (0/2): No evidence found of AI product deployment or quantified savings. Market Share (0/2): No market-share or competitive-positioning data was found; the company appears to be a marginal, largely inactive player in China's waste energy recycling sector. Product Pipeline (0/2): No specific next-generation products with named timelines or revenue visibility were identified. R&amp;D Intensity (0/1): No R&amp;D spending data was found for this 22-employee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Smart Powerr's stated focus on 'comprehensive energy storage solutions... innovation and sustainability... environmental responsibility' is generic, boilerplate industry language interchangeable with any energy company, without evidence of distinctive intentionality [1]. Community Impact (0/2): No evidence of charitable programs or community investment was found. Employee Retention (0/2): No tenure or turnover data available for the 22-person workforce [3]. Insider Buying (0/2): No insider transaction data was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TRIGGERED — LIQUIDITY FLOOR: average daily volume of 81,741 shares x $1.43 stock price ≈ $116,890/day, well below the $1,000,000 minimum liquidity threshold, so Infrastructure is forced to 0 regardless of other metrics [2]. For reference, other metrics are also weak: ROE of -1.76% and D/E last reported near 0.02x (FY2025) fail to offset the poor operating scale, and revenue of just $350,237 TTM (albeit +1,598% YoY off a negligible base) does not indicate a viable going concern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Smart Powerr shows little evidence of infinite-game thinking. The 2022 rebrand from China Recycling Energy Corp reflects a repositioning attempt, but with only $350K in TTM revenue and 22 employees, there is no evidence of a durable Just Cause being lived out, courageous long-term investment, or a stable organizational culture — this reads as a company in survival mode rather than one playing to keep playing.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evidence was found that Smart Powerr's generic sustainability/energy-recovery language has shaped specific strategic decisions or survived any meaningful test; the company's history of renaming and repositioning suggests drift rather than a consistently held cause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data on turnover, tenure, or culture was found for the 22-employee organization either positive or negative, so this is scored as an unremarkable, average picture in the absence of any red-flag evidence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the company acknowledging competitors' strengths or framing competition as a source of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corporate rebrand from China Recycling Energy Corp to Smart Powerr Corp, paired with a stated shift toward broader energy storage solutions, represents some willingness to reposition the business, though revenue has not followed the repositioning, so it does not rise to a proven transformative pivot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making costly, long-term capability investments; the company's minimal revenue and operating scale suggest survival-mode management rather than principled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Smart Powerr Corp. operates in China's waste energy recycling sector using a Build-Operate-Transfer model for industrial clients, and TTM revenue grew 1,598% YoY to $350,237 — though this reflects an extremely small base rather than meaningful commercial traction [2]. The Inspire Impact Score of 51 (ALIGNED) reflects positive ESG attributions in Air Quality, Energy Management, and GHG Emissions, consistent with the company's stated waste-heat and biomass power generation focus. At a stock price of $1.43, the company trades as a deep, speculative penny stock with theoretical exposure to China's industrial decarbonization policy tailwinds if operations were ever to scale meaningfully.</w:t>
      </w:r>
    </w:p>
    <w:p>
      <w:pPr>
        <w:spacing w:after="120"/>
      </w:pPr>
      <w:r>
        <w:rPr>
          <w:rFonts w:ascii="Calibri" w:hAnsi="Calibri"/>
          <w:b w:val="0"/>
          <w:color w:val="3A4A28"/>
          <w:sz w:val="20"/>
        </w:rPr>
        <w:t>The bear case is overwhelming and mechanically dispositive under this framework's rules. Average daily dollar volume of roughly $116,890 falls far below the $1,000,000 liquidity floor, forcing Infrastructure to a hard 0 regardless of any other metric [2]. The company generates negative return on equity (-1.76%), an extreme negative net margin, and shows no evidence across the Innovation or Inspiration checklists of product launches, market share, community investment, or insider conviction. With just 22 employees and no meaningful track record of translating its 'energy storage solutions' repositioning into revenue, Smart Powerr presents as a functionally dormant public shell with minimal analyst coverage and severe illiquidity risk that makes it untradeable for institutional-scale capital [1][2][3].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China's industrial decarbonization and energy-efficiency policy could theoretically create demand for waste heat/gas recovery BOT projects if the company can convert its positioning into signed contracts</w:t>
      </w:r>
    </w:p>
    <w:p>
      <w:pPr>
        <w:spacing w:before="40" w:after="40"/>
        <w:ind w:left="283"/>
      </w:pPr>
      <w:r>
        <w:rPr>
          <w:rFonts w:ascii="Calibri" w:hAnsi="Calibri"/>
          <w:b/>
          <w:color w:val="4A6B25"/>
          <w:sz w:val="20"/>
        </w:rPr>
        <w:t xml:space="preserve">2. </w:t>
      </w:r>
      <w:r>
        <w:rPr>
          <w:rFonts w:ascii="Calibri" w:hAnsi="Calibri"/>
          <w:b w:val="0"/>
          <w:color w:val="3A4A28"/>
          <w:sz w:val="20"/>
        </w:rPr>
        <w:t>The 1,598% YoY revenue growth, while off a negligible base, indicates some level of recent operating activity that could compound if sustained</w:t>
      </w:r>
    </w:p>
    <w:p>
      <w:pPr>
        <w:spacing w:before="40" w:after="40"/>
        <w:ind w:left="283"/>
      </w:pPr>
      <w:r>
        <w:rPr>
          <w:rFonts w:ascii="Calibri" w:hAnsi="Calibri"/>
          <w:b/>
          <w:color w:val="4A6B25"/>
          <w:sz w:val="20"/>
        </w:rPr>
        <w:t xml:space="preserve">3. </w:t>
      </w:r>
      <w:r>
        <w:rPr>
          <w:rFonts w:ascii="Calibri" w:hAnsi="Calibri"/>
          <w:b w:val="0"/>
          <w:color w:val="3A4A28"/>
          <w:sz w:val="20"/>
        </w:rPr>
        <w:t>ALIGNED Inspire Impact Score (51) reflects genuine environmental positioning (Air Quality, GHG Emissions, Energy Management) that could appeal to faith-aligned or ESG-focused capital if the business scaled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TRIGGERED — average daily dollar volume of ~$116,890 is far below the $1,000,000 threshold this framework requires, making the stock effectively untradeable at any meaningful position size and forcing Infrastructure to 0 [2]</w:t>
      </w:r>
    </w:p>
    <w:p>
      <w:pPr>
        <w:spacing w:before="40" w:after="40"/>
        <w:ind w:left="283"/>
      </w:pPr>
      <w:r>
        <w:rPr>
          <w:rFonts w:ascii="Calibri" w:hAnsi="Calibri"/>
          <w:b/>
          <w:color w:val="4A6B25"/>
          <w:sz w:val="20"/>
        </w:rPr>
        <w:t xml:space="preserve">2. </w:t>
      </w:r>
      <w:r>
        <w:rPr>
          <w:rFonts w:ascii="Calibri" w:hAnsi="Calibri"/>
          <w:b w:val="0"/>
          <w:color w:val="3A4A28"/>
          <w:sz w:val="20"/>
        </w:rPr>
        <w:t>TTM revenue of just $350,237 and negative ROE indicate the company is not a going concern at any meaningful commercial scale despite decades of operating history</w:t>
      </w:r>
    </w:p>
    <w:p>
      <w:pPr>
        <w:spacing w:before="40" w:after="40"/>
        <w:ind w:left="283"/>
      </w:pPr>
      <w:r>
        <w:rPr>
          <w:rFonts w:ascii="Calibri" w:hAnsi="Calibri"/>
          <w:b/>
          <w:color w:val="4A6B25"/>
          <w:sz w:val="20"/>
        </w:rPr>
        <w:t xml:space="preserve">3. </w:t>
      </w:r>
      <w:r>
        <w:rPr>
          <w:rFonts w:ascii="Calibri" w:hAnsi="Calibri"/>
          <w:b w:val="0"/>
          <w:color w:val="3A4A28"/>
          <w:sz w:val="20"/>
        </w:rPr>
        <w:t>No evidence of community impact, employee retention data, insider buying, R&amp;D investment, or competitive positioning was found across any of the Innovation, Inspiration, or Infinite Game evidence checklists, reflecting an almost complete absence of verifiable business activity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Smart Powerr's business — physical Build-Operate-Transfer waste energy recovery facilities for Chinese industrial clients — is a physical-infrastructure model that AI cannot directly substitute, since it requires on-site industrial equipment and long-term facility operating contracts [1]. This structural protection is largely theoretical given the company's negligible operating scale ($350K TTM revenue) and lack of analyst coverage confirming any real-world AI risk assessment. AI Opportunity (0/1): No evidence of AI-related revenue or product deployment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Smart Powerr Corp. (CREG) Corporate Profile and History — creg-cn.com, Wikipedia, Crunchbase</w:t>
      </w:r>
    </w:p>
    <w:p>
      <w:pPr>
        <w:spacing w:before="20" w:after="20"/>
        <w:ind w:left="170"/>
      </w:pPr>
      <w:r>
        <w:rPr>
          <w:rFonts w:ascii="Calibri" w:hAnsi="Calibri"/>
          <w:b/>
          <w:color w:val="4A6B25"/>
          <w:sz w:val="15"/>
        </w:rPr>
        <w:t xml:space="preserve">2. </w:t>
      </w:r>
      <w:r>
        <w:rPr>
          <w:rFonts w:ascii="Calibri" w:hAnsi="Calibri"/>
          <w:b w:val="0"/>
          <w:color w:val="3A4A28"/>
          <w:sz w:val="17"/>
        </w:rPr>
        <w:t>stockanalysis.com — CREG Key Statistics, Financials, and Financial Ratios,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Smart Powerr Corp. Employee Count and Company Profile — Stocktwits, Yahoo Finance,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