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CRK</w:t>
      </w:r>
      <w:r>
        <w:rPr>
          <w:rFonts w:ascii="Calibri" w:hAnsi="Calibri"/>
          <w:b/>
          <w:color w:val="1A2010"/>
          <w:sz w:val="40"/>
        </w:rPr>
        <w:t xml:space="preserve">  Comstock Resources, Inc.</w:t>
      </w:r>
    </w:p>
    <w:p>
      <w:pPr>
        <w:spacing w:after="120"/>
      </w:pPr>
      <w:r>
        <w:rPr>
          <w:rFonts w:ascii="Calibri" w:hAnsi="Calibri"/>
          <w:b/>
          <w:color w:val="6E8450"/>
          <w:sz w:val="18"/>
        </w:rPr>
        <w:t>GROWTH SLEEVE · 2026-07-13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Comstock Resources is a Frisco, Texas-based natural gas exploration and production company with a dominant position in the Haynesville Shale of Northwest Louisiana and the developing Western Haynesville play in East Texas. Dallas Cowboys owner Jerry Jones is the largest shareholder (~71%) with over $1.1B invested. The company's assets sit adjacent to the Gulf Coast LNG corridor and the Dallas-Houston AI data center buildout. Market cap $3.79B.</w:t>
      </w:r>
    </w:p>
    <w:p>
      <w:r>
        <w:rPr>
          <w:rFonts w:ascii="Calibri" w:hAnsi="Calibri"/>
          <w:b/>
          <w:color w:val="6E8450"/>
          <w:sz w:val="18"/>
        </w:rPr>
        <w:t>320 Employees · https://www.comstockresources.com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revenue of $587.4M (+14.5% YoY) with operating income surging 38.6% to $174.9M and net income of $112.5M, a dramatic swing from Q1 2025's net loss of $115.4M [1]. TTM revenue of $2.0B represents significant growth from $1.25B in FY2024, driven by higher realized gas prices ($4.27/Mcf) and the Western Haynesville development. AI Deployment (0/2): Comstock does not deploy AI products or report AI-driven cost savings. The company's AI exposure is as a beneficiary of AI data center power demand, not as an AI deployer. Market Share (1/2): Top-5 Haynesville producer with the most acreage in the Western Haynesville play and strategic proximity to the Gulf Coast LNG corridor and Dallas-Houston data center cluster, but natural gas is a commodity without meaningful share differentiation [2]. Pipeline (2/2): The Western Haynesville has been called 'the holy grail of supply' for AI power needs given its proximity to both LNG export terminals and data center load growth [2]. CEO Allison and Jerry Jones are executing a multi-year development program. Active exploration of a NextEra power-generation partnership to serve data center clients directly. R&amp;D Intensity (0/1): Not applicable; Comstock's edge is geological and operational know-how rather than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Jay Allison is the longest-tenured public oil-and-gas CEO and has built Comstock around a clearly articulated mission of finding 'the last great play in America' — the Western Haynesville [2]. Described as 'a man of faith who combines humility with quiet boldness,' Allison has built a culture where '100 percent of our team held no distorted view of reality' — a specific, thoughtful, and differentiating purpose that shapes strategic decisions. Community Impact (1/2): Comstock's emissions intensity ranks among the lowest in E&amp;P given its natural gas focus. The company uses natural gas-fueled rigs instead of diesel, implements active leak detection using optical gas imaging, and has reduced freshwater use for hydraulic fracturing by approximately 30% [3]. MiQ methane certification demonstrates responsible-sourcing commitment. Employee Retention (1/2): Allison's legendary tenure (one of the longest-tenured CEOs in O&amp;G) and the cohesive Allison-Jones partnership signal stable leadership culture for the ~320-employee company [2]. Insider Buying (2/2): Jerry Jones made an additional $100M investment purchasing 573,433 shares, increasing his ownership to approximately 203.5 million shares (~71% of outstanding) on top of his $1.1B+ cumulative investment [4]. This is extraordinary insider conviction by the company's controlling shareholder.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ROE surged to 24.24% and profit margin expanded to 31.20% as higher natural gas prices ($4.27/Mcf realized Q1 2026) transformed the income statement — both scoring 1.0 against targets [5]. D/E of 99% ($3.03B debt) scores 0.87, reflecting manageable leverage underwritten by Jerry Jones's $1.1B+ commitment [4]. Revenue growth of ~20% YoY and estimated 5yr CAGR of ~9% both score well. Forward P/E of 21.48 scores 0.96, but the Forward PEG of 4.64 (reflecting expected earnings normalization from peak gas prices) scores 0 and is the primary drag. Trailing PE of 6.13 reflects TTM earnings of $2.11/share including H2 2025 windfall. Liquidity passes: 2.59M avg volume x $12.92 = $33.4M daily. Stock is down 43% from 52-week highs as the market prices in gas price reversion.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Comstock under Jay Allison (longest-tenured public E&amp;P CEO) and Jerry Jones (~71% owner with $1.1B+ committed) is playing a generational bet on the Western Haynesville — the kind of multi-decade patient capital allocation rare in commodity E&amp;P. The culture Allison has built, grounded in intellectual honesty and faith-driven humility, is distinctive. However, the company's strategic rigidity (always Haynesville gas) and lack of transformative business model evolution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Allison's articulation of finding 'the last great play in America' — the Western Haynesville to fuel US LNG exports and AI data centers — is a clear, durable, and societally relevant cause that connects natural gas production to America's energy security and AI infrastructure buildout [2]. Jerry Jones's $1.1B+ personal commitment validates the vision's credibility. However, the cause hasn't been tested through leadership transition or prolonged crisis, and it remains centered on resource extraction rather than a broader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Allison's emphasis that '100 percent of our team held no distorted view of reality' and his renowned photographic recall of people, well EURs, and market cycles speak to a culture of intellectual honesty rare in E&amp;P [2]. The stable Allison-Jones partnership and long CEO tenure signal high-trust leadership. But the 320-employee company has limited public data on broader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Comstock competes with Expand Energy (Chesapeake/Southwestern), EQT, Range Resources, and Antero, plus private Haynesville operators Aethon and BPX. No evidence of management commentary acknowledging rivals' strengths or framing competition as a motivation for self-improvement. The competitive language focuses on acreage position and cost structure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Western Haynesville development represents an adjacent-market expansion from the core Haynesville play, and the active exploration of a NextEra power-generation partnership to directly serve AI data centers could represent a genuine business model evolution from pure commodity producer to contracted energy supplier [2]. The $445M legacy asset sale to fund the new play demonstrates capital reallocation discipline. However, the company has been singularly focused on Haynesville natural gas for decades — no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Jerry Jones's $1.1B+ personal capital commitment and additional $100M investment to fund the Western Haynesville development, plus Allison's willingness to sell $445M in legacy assets and suspend the dividend to concentrate resources on the next-generation play, represent extraordinary conviction [2][4]. Few public E&amp;P CEOs would underwrite this level of personal capital risk alongside aggressive operational investment during a period of natural gas price volatility. This is the definition of sacrificing near-term returns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Comstock Resources is a uniquely positioned natural gas play at the intersection of AI data center power demand and Gulf Coast LNG exports. Q1 2026 delivered $587.4M revenue (+14.5% YoY) with net income of $112.5M — a dramatic reversal from the $115.4M Q1 2025 loss — driven by $4.27/Mcf realized gas prices and operating leverage [1]. TTM profitability is exceptional: ROE 24.24%, profit margin 31.20%, and TTM EPS of $2.11 against a $12.92 stock price (trailing PE 6.13x). CEO Jay Allison, the longest-tenured public E&amp;P CEO and a man of faith, has built the company around 'the last great play in America' — the Western Haynesville, which sits between the Dallas-Houston AI data center cluster and Gulf Coast LNG terminals [2]. Jerry Jones's $1.1B+ cumulative investment (~71% ownership) with an additional $100M recent purchase represents extraordinary insider conviction [4]. MiQ methane certification and industry-low emissions intensity provide ESG credibility. Faith alignment score of 39 (ALIGNED) with no negative attributions is distinctive in the energy sector.</w:t>
      </w:r>
    </w:p>
    <w:p>
      <w:pPr>
        <w:spacing w:after="120"/>
      </w:pPr>
      <w:r>
        <w:rPr>
          <w:rFonts w:ascii="Calibri" w:hAnsi="Calibri"/>
          <w:b w:val="0"/>
          <w:color w:val="3A4A28"/>
          <w:sz w:val="20"/>
        </w:rPr>
        <w:t>The bear case centers on natural gas price volatility and the sustainability of current profitability. The stock is down 43% from 52-week highs as the market prices in gas price reversion from Q1's $4.27/Mcf — the Forward PE of 21.48x vs trailing 6.13x implies analysts expect a 70%+ earnings decline [5]. Total debt of $3.03B (D/E 99%) remains elevated, and the Western Haynesville development requires continued capital outspend funded by asset sales and cash flow [3]. Natural gas production declined 15% to 97.9 Bcf in Q1 2026, signaling volume-for-price tradeoffs that create base decline risk [1]. Q1 revenue missed analyst expectations on the top line due to hedging woes despite the profitability beat [1]. No dividend means investors are entirely dependent on gas price and production growth. Concentrated ownership by Jerry Jones (~71%) limits float and creates governance dynamics where minority shareholders ride alongside Jones's strategic preferences. ESG access-to-capital pressure on natural gas E&amp;P remains a structural headwind despite the methane certification.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Western Haynesville production ramp and well-results disclosure validating the 'last great play' thesis, potentially converting the acreage position into proved reserves and production growth [2]</w:t>
      </w:r>
    </w:p>
    <w:p>
      <w:pPr>
        <w:spacing w:before="40" w:after="40"/>
        <w:ind w:left="283"/>
      </w:pPr>
      <w:r>
        <w:rPr>
          <w:rFonts w:ascii="Calibri" w:hAnsi="Calibri"/>
          <w:b/>
          <w:color w:val="4A6B25"/>
          <w:sz w:val="20"/>
        </w:rPr>
        <w:t xml:space="preserve">2. </w:t>
      </w:r>
      <w:r>
        <w:rPr>
          <w:rFonts w:ascii="Calibri" w:hAnsi="Calibri"/>
          <w:b w:val="0"/>
          <w:color w:val="3A4A28"/>
          <w:sz w:val="20"/>
        </w:rPr>
        <w:t>Direct-to-data-center power offtake or NextEra partnership signing, converting volatile commodity gas revenue into contracted, higher-multiple recurring revenue at the intersection of AI power demand [2]</w:t>
      </w:r>
    </w:p>
    <w:p>
      <w:pPr>
        <w:spacing w:before="40" w:after="40"/>
        <w:ind w:left="283"/>
      </w:pPr>
      <w:r>
        <w:rPr>
          <w:rFonts w:ascii="Calibri" w:hAnsi="Calibri"/>
          <w:b/>
          <w:color w:val="4A6B25"/>
          <w:sz w:val="20"/>
        </w:rPr>
        <w:t xml:space="preserve">3. </w:t>
      </w:r>
      <w:r>
        <w:rPr>
          <w:rFonts w:ascii="Calibri" w:hAnsi="Calibri"/>
          <w:b w:val="0"/>
          <w:color w:val="3A4A28"/>
          <w:sz w:val="20"/>
        </w:rPr>
        <w:t>Sustained natural gas price strength driven by LNG export expansion (Plaquemines, Golden Pass, CP2 terminals) and AI data center load growth, leveraging Comstock's strategic Gulf Coast and Dallas-Houston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reversion from $4.27/Mcf toward the $2.50-3.00 historical range would collapse the current 24% ROE and 31% margin profile — Forward PE of 21.48x prices in significant earnings decline [5]</w:t>
      </w:r>
    </w:p>
    <w:p>
      <w:pPr>
        <w:spacing w:before="40" w:after="40"/>
        <w:ind w:left="283"/>
      </w:pPr>
      <w:r>
        <w:rPr>
          <w:rFonts w:ascii="Calibri" w:hAnsi="Calibri"/>
          <w:b/>
          <w:color w:val="4A6B25"/>
          <w:sz w:val="20"/>
        </w:rPr>
        <w:t xml:space="preserve">2. </w:t>
      </w:r>
      <w:r>
        <w:rPr>
          <w:rFonts w:ascii="Calibri" w:hAnsi="Calibri"/>
          <w:b w:val="0"/>
          <w:color w:val="3A4A28"/>
          <w:sz w:val="20"/>
        </w:rPr>
        <w:t>Production decline of 15% to 97.9 Bcf in Q1 2026 and $3.03B debt (99% D/E) create cash flow strain if gas prices weaken during the Western Haynesville capital-intensive development phase [1]</w:t>
      </w:r>
    </w:p>
    <w:p>
      <w:pPr>
        <w:spacing w:before="40" w:after="40"/>
        <w:ind w:left="283"/>
      </w:pPr>
      <w:r>
        <w:rPr>
          <w:rFonts w:ascii="Calibri" w:hAnsi="Calibri"/>
          <w:b/>
          <w:color w:val="4A6B25"/>
          <w:sz w:val="20"/>
        </w:rPr>
        <w:t xml:space="preserve">3. </w:t>
      </w:r>
      <w:r>
        <w:rPr>
          <w:rFonts w:ascii="Calibri" w:hAnsi="Calibri"/>
          <w:b w:val="0"/>
          <w:color w:val="3A4A28"/>
          <w:sz w:val="20"/>
        </w:rPr>
        <w:t>Concentrated Jerry Jones ownership (~71%) and no dividend create governance and liquidity concerns for minority shareholders — Jones's strategic priorities (potential take-private) may not align with public market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Natural gas E&amp;P is structurally immune to AI disruption — drilling wells, extracting methane molecules, and managing physical infrastructure are operations AI cannot substitute [2]. Critically, AI data centers need enormous power — much of it from natural gas — meaning AI deployment directly increases demand for Comstock's core product. The Western Haynesville sits between Dallas and Houston, the densest US cluster of new AI data center development, and adjacent to the Gulf Coast LNG export corridor, making it one of the most strategically located natural gas assets in the country [2]. No analyst has identified AI as a disruption risk; the consensus view is the opposite. AI Opportunity (0/1): Comstock does not generate revenue from AI products or services. The AI data center demand tailwind is captured as a structural advantage within the risk protection framework, not as direct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Comstock Resources Q1 2026 Earnings Release — $587.4M revenue (+14.5% YoY), $112.5M net income ($0.38 EPS), $174.9M operating income (+38.6%), 97.9 Bcf production, $4.27/Mcf realized price, May 2026</w:t>
      </w:r>
    </w:p>
    <w:p>
      <w:pPr>
        <w:spacing w:before="20" w:after="20"/>
        <w:ind w:left="170"/>
      </w:pPr>
      <w:r>
        <w:rPr>
          <w:rFonts w:ascii="Calibri" w:hAnsi="Calibri"/>
          <w:b/>
          <w:color w:val="4A6B25"/>
          <w:sz w:val="15"/>
        </w:rPr>
        <w:t xml:space="preserve">2. </w:t>
      </w:r>
      <w:r>
        <w:rPr>
          <w:rFonts w:ascii="Calibri" w:hAnsi="Calibri"/>
          <w:b w:val="0"/>
          <w:color w:val="3A4A28"/>
          <w:sz w:val="17"/>
        </w:rPr>
        <w:t>D CEO Magazine / Yahoo Finance — 'The Last Great Play,' Jay Allison and Jerry Jones Western Haynesville bet, NextEra partnership exploration, strategic AI data center and LNG corridor proximity, 2025-2026</w:t>
      </w:r>
    </w:p>
    <w:p>
      <w:pPr>
        <w:spacing w:before="20" w:after="20"/>
        <w:ind w:left="170"/>
      </w:pPr>
      <w:r>
        <w:rPr>
          <w:rFonts w:ascii="Calibri" w:hAnsi="Calibri"/>
          <w:b/>
          <w:color w:val="4A6B25"/>
          <w:sz w:val="15"/>
        </w:rPr>
        <w:t xml:space="preserve">3. </w:t>
      </w:r>
      <w:r>
        <w:rPr>
          <w:rFonts w:ascii="Calibri" w:hAnsi="Calibri"/>
          <w:b w:val="0"/>
          <w:color w:val="3A4A28"/>
          <w:sz w:val="17"/>
        </w:rPr>
        <w:t>Comstock Resources ESG and Environmental Initiatives — SASB reporting, MiQ methane certification, gas-fueled rigs, 30% freshwater reduction, optical gas imaging leak detection, 2025-2026</w:t>
      </w:r>
    </w:p>
    <w:p>
      <w:pPr>
        <w:spacing w:before="20" w:after="20"/>
        <w:ind w:left="170"/>
      </w:pPr>
      <w:r>
        <w:rPr>
          <w:rFonts w:ascii="Calibri" w:hAnsi="Calibri"/>
          <w:b/>
          <w:color w:val="4A6B25"/>
          <w:sz w:val="15"/>
        </w:rPr>
        <w:t xml:space="preserve">4. </w:t>
      </w:r>
      <w:r>
        <w:rPr>
          <w:rFonts w:ascii="Calibri" w:hAnsi="Calibri"/>
          <w:b w:val="0"/>
          <w:color w:val="3A4A28"/>
          <w:sz w:val="17"/>
        </w:rPr>
        <w:t>Investing.com — Jerry Jones additional $100M investment (573,433 shares), cumulative $1.1B+ committed, ~203.5M shares (~71% ownership),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CRK statistics: $12.92 price, PE 6.13, Forward PE 21.48, PEG 4.64, D/E 99%, ROE 24.24%, profit margin 31.20%, market cap $3.79B,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